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方正小标宋简体" w:cs="Times New Roman"/>
          <w:sz w:val="44"/>
          <w:szCs w:val="44"/>
        </w:rPr>
      </w:pPr>
      <w:bookmarkStart w:id="1" w:name="_GoBack"/>
      <w:bookmarkEnd w:id="1"/>
      <w:r>
        <w:rPr>
          <w:rFonts w:hint="eastAsia" w:ascii="Times New Roman" w:hAnsi="Times New Roman" w:eastAsia="方正小标宋简体" w:cs="Times New Roman"/>
          <w:sz w:val="44"/>
          <w:szCs w:val="44"/>
        </w:rPr>
        <w:t>廊坊市人民政府国有资产监督管理委员会本级</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23</w:t>
      </w:r>
      <w:r>
        <w:rPr>
          <w:rFonts w:ascii="Times New Roman" w:hAnsi="Times New Roman" w:eastAsia="方正小标宋简体" w:cs="Times New Roman"/>
          <w:sz w:val="44"/>
          <w:szCs w:val="44"/>
        </w:rPr>
        <w:t>年</w:t>
      </w:r>
      <w:r>
        <w:rPr>
          <w:rFonts w:hint="eastAsia" w:ascii="Times New Roman" w:hAnsi="Times New Roman" w:eastAsia="方正小标宋简体" w:cs="Times New Roman"/>
          <w:sz w:val="44"/>
          <w:szCs w:val="44"/>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《中华人民共和国预算法》</w:t>
      </w:r>
      <w:r>
        <w:rPr>
          <w:rFonts w:hint="eastAsia" w:ascii="Times New Roman" w:hAnsi="Times New Roman" w:eastAsia="仿宋_GB2312" w:cs="Times New Roman"/>
          <w:sz w:val="32"/>
          <w:szCs w:val="32"/>
        </w:rPr>
        <w:t>、《地方预决算公开操作规程》和《关于进一步推进预算公开工作的实施意见》规定，现将廊坊市人民政府国有资产监督管理委员会本级2023年单位预算公开如下：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单位</w:t>
      </w:r>
      <w:r>
        <w:rPr>
          <w:rFonts w:ascii="Times New Roman" w:hAnsi="Times New Roman" w:eastAsia="楷体_GB2312" w:cs="Times New Roman"/>
          <w:b/>
          <w:sz w:val="32"/>
          <w:szCs w:val="32"/>
        </w:rPr>
        <w:t>职责：</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(一)</w:t>
      </w:r>
      <w:r>
        <w:rPr>
          <w:rFonts w:hint="eastAsia" w:ascii="Times New Roman" w:hAnsi="Times New Roman" w:eastAsia="仿宋_GB2312" w:cs="Times New Roman"/>
          <w:sz w:val="32"/>
          <w:szCs w:val="32"/>
        </w:rPr>
        <w:t>根据市政府授权，依照《中华人民共和国企业国有资产法》《中华人民共和国公司法》等法律和行政法规履行出资人职责，监管履行出资人职责企业的国有资产，加强国有资产的管理工作。</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(二)</w:t>
      </w:r>
      <w:r>
        <w:rPr>
          <w:rFonts w:hint="eastAsia" w:ascii="Times New Roman" w:hAnsi="Times New Roman" w:eastAsia="仿宋_GB2312" w:cs="Times New Roman"/>
          <w:sz w:val="32"/>
          <w:szCs w:val="32"/>
        </w:rPr>
        <w:t>承担监督所监管企业国有资产保值增值的责任;建立和完善国有资产保值增值指标体系，拟订考核标准，通过统计、稽核对所监管企业国有资产的保值增值情况进行监管；优化考核分配，完善激励约束机制，健全所监管企业收入分配管理和调控体系，负责所监管企业工资分配管理工作，制定所监管企业负责人收入分配政策并组织实施。</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(三)</w:t>
      </w:r>
      <w:r>
        <w:rPr>
          <w:rFonts w:hint="eastAsia" w:ascii="Times New Roman" w:hAnsi="Times New Roman" w:eastAsia="仿宋_GB2312" w:cs="Times New Roman"/>
          <w:sz w:val="32"/>
          <w:szCs w:val="32"/>
        </w:rPr>
        <w:t>研究建立国有资本运作制度，制定国有资本运作规划；推动国有资本规范运作，组建并指导市国资委履行出资人职责的国有资本投资、运营公司开展国有资本运营；根据调整和优化国有资本布局结构的要求，指导所监管企业对所从事的金融业务加强管理；组织指导有关投资基金的设立和运作；归口管理市国资委履行多元投资主体企业股东职责有关工作。</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(四)</w:t>
      </w:r>
      <w:r>
        <w:rPr>
          <w:rFonts w:hint="eastAsia" w:ascii="Times New Roman" w:hAnsi="Times New Roman" w:eastAsia="仿宋_GB2312" w:cs="Times New Roman"/>
          <w:sz w:val="32"/>
          <w:szCs w:val="32"/>
        </w:rPr>
        <w:t>指导推进国有企业改革和重组，推进国有企业的现代企业制度建设，完善公司治理结构；推动国有经济布局和结构的战略性调整，制定所监管企业整体规划，审核所监管企业发展战略和规划；改进投资监管方式，强化主业管理；指导所监管企业防范风险，开展违规投资追责。</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(五)</w:t>
      </w:r>
      <w:r>
        <w:rPr>
          <w:rFonts w:hint="eastAsia" w:ascii="Times New Roman" w:hAnsi="Times New Roman" w:eastAsia="仿宋_GB2312" w:cs="Times New Roman"/>
          <w:sz w:val="32"/>
          <w:szCs w:val="32"/>
        </w:rPr>
        <w:t>负责通过法定程序对所监管企业负责人进行任免、考核，并根据其经营业绩进行奖惩。</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(六)</w:t>
      </w:r>
      <w:r>
        <w:rPr>
          <w:rFonts w:hint="eastAsia" w:ascii="Times New Roman" w:hAnsi="Times New Roman" w:eastAsia="仿宋_GB2312" w:cs="Times New Roman"/>
          <w:sz w:val="32"/>
          <w:szCs w:val="32"/>
        </w:rPr>
        <w:t>负责组织所监管企业上交国有资本收益，参与制定国有资本经营预算有关管理制度和办法，按照有关规定负责国有资本经营预决算编制和执行等工作。</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(七)</w:t>
      </w:r>
      <w:r>
        <w:rPr>
          <w:rFonts w:hint="eastAsia" w:ascii="Times New Roman" w:hAnsi="Times New Roman" w:eastAsia="仿宋_GB2312" w:cs="Times New Roman"/>
          <w:sz w:val="32"/>
          <w:szCs w:val="32"/>
        </w:rPr>
        <w:t>负责有关监督成果的利用工作，分类处置、督办和深入核查监督检查发现移交的问题，对共性问题组织开展专项核查，组织开展国有资产重大损失调查，提出有关责任追究的意见建议。</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(八)</w:t>
      </w:r>
      <w:r>
        <w:rPr>
          <w:rFonts w:hint="eastAsia" w:ascii="Times New Roman" w:hAnsi="Times New Roman" w:eastAsia="仿宋_GB2312" w:cs="Times New Roman"/>
          <w:sz w:val="32"/>
          <w:szCs w:val="32"/>
        </w:rPr>
        <w:t>按照出资人职责，负责督促检查所监管企业贯彻落实国家安全生产方针政策及有关法律法规、标准等工作。</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(九)</w:t>
      </w:r>
      <w:r>
        <w:rPr>
          <w:rFonts w:hint="eastAsia" w:ascii="Times New Roman" w:hAnsi="Times New Roman" w:eastAsia="仿宋_GB2312" w:cs="Times New Roman"/>
          <w:sz w:val="32"/>
          <w:szCs w:val="32"/>
        </w:rPr>
        <w:t>负责企业国有资产基础管理，贯彻落实国家有关国有资产管理的法律法规，制定国有资产管理的有关制度和办法，依法对县（市、区）、廊坊开发区国有资产管理工作进行指导和监督。</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(十)</w:t>
      </w:r>
      <w:r>
        <w:rPr>
          <w:rFonts w:hint="eastAsia" w:ascii="Times New Roman" w:hAnsi="Times New Roman" w:eastAsia="仿宋_GB2312" w:cs="Times New Roman"/>
          <w:sz w:val="32"/>
          <w:szCs w:val="32"/>
        </w:rPr>
        <w:t>建立健全党建工作责任制，完善企业党建工作考核评价体系，开展所监管企业党建工作考核；指导所监管企业开展党的建设工作。</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(十一)</w:t>
      </w:r>
      <w:r>
        <w:rPr>
          <w:rFonts w:hint="eastAsia" w:ascii="Times New Roman" w:hAnsi="Times New Roman" w:eastAsia="仿宋_GB2312" w:cs="Times New Roman"/>
          <w:sz w:val="32"/>
          <w:szCs w:val="32"/>
        </w:rPr>
        <w:t>指导所监管企业和委属事业单位对巡视巡察、专项检查、审计中发现问题的整改。</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(十二)</w:t>
      </w:r>
      <w:r>
        <w:rPr>
          <w:rFonts w:hint="eastAsia" w:ascii="Times New Roman" w:hAnsi="Times New Roman" w:eastAsia="仿宋_GB2312" w:cs="Times New Roman"/>
          <w:sz w:val="32"/>
          <w:szCs w:val="32"/>
        </w:rPr>
        <w:t>对所监管集体企业资产进行监督管理，维护集体经济合法权益，促进集体经济发展。</w:t>
      </w:r>
    </w:p>
    <w:p>
      <w:pPr>
        <w:autoSpaceDE w:val="0"/>
        <w:autoSpaceDN w:val="0"/>
        <w:adjustRightInd w:val="0"/>
        <w:spacing w:line="584" w:lineRule="exact"/>
        <w:ind w:firstLine="630" w:firstLineChars="196"/>
        <w:jc w:val="left"/>
        <w:rPr>
          <w:rFonts w:ascii="Times New Roman" w:hAnsi="Times New Roman" w:eastAsia="仿宋_GB2312" w:cs="Times New Roman"/>
          <w:sz w:val="32"/>
          <w:szCs w:val="32"/>
        </w:rPr>
      </w:pPr>
      <w:r>
        <w:rPr>
          <w:rFonts w:hint="eastAsia" w:ascii="楷体_GB2312" w:eastAsia="楷体_GB2312" w:cs="Times New Roman" w:hAnsiTheme="minorHAnsi"/>
          <w:b/>
          <w:sz w:val="32"/>
          <w:szCs w:val="32"/>
        </w:rPr>
        <w:t>(十三)</w:t>
      </w:r>
      <w:r>
        <w:rPr>
          <w:rFonts w:hint="eastAsia" w:ascii="Times New Roman" w:hAnsi="Times New Roman" w:eastAsia="仿宋_GB2312" w:cs="Times New Roman"/>
          <w:sz w:val="32"/>
          <w:szCs w:val="32"/>
        </w:rPr>
        <w:t>完成市委、市政府交办的其他任务。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jc w:val="center"/>
      </w:pPr>
      <w:r>
        <w:rPr>
          <w:rFonts w:ascii="方正小标宋_GBK" w:hAnsi="方正小标宋_GBK" w:eastAsia="方正小标宋_GBK" w:cs="方正小标宋_GBK"/>
          <w:color w:val="000000"/>
          <w:sz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廊坊市人民政府国有资产监督管理委员会本级</w:t>
            </w:r>
          </w:p>
        </w:tc>
        <w:tc>
          <w:tcPr>
            <w:tcW w:w="1843" w:type="dxa"/>
            <w:vAlign w:val="center"/>
          </w:tcPr>
          <w:p>
            <w:pPr>
              <w:pStyle w:val="18"/>
            </w:pPr>
            <w:r>
              <w:t>行政</w:t>
            </w:r>
          </w:p>
        </w:tc>
        <w:tc>
          <w:tcPr>
            <w:tcW w:w="2126" w:type="dxa"/>
            <w:vAlign w:val="center"/>
          </w:tcPr>
          <w:p>
            <w:pPr>
              <w:pStyle w:val="18"/>
            </w:pPr>
            <w:r>
              <w:t>正处（县）级</w:t>
            </w:r>
          </w:p>
        </w:tc>
        <w:tc>
          <w:tcPr>
            <w:tcW w:w="3827" w:type="dxa"/>
            <w:vAlign w:val="center"/>
          </w:tcPr>
          <w:p>
            <w:pPr>
              <w:pStyle w:val="18"/>
            </w:pPr>
            <w: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按照预算管理有关规定，目前我市</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预算的编制实行综合预算制度，即全部收入和支出都反映在预算中。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反映本单位当年全部收入。2023年预算收入7734万元，其中：一般公共预算收入5938万元，基金预算收入0万元，国有资本经营预算收入1796万元，财政专户核拨收入0万元，单位资金收入0万元，上年结转结余0万元。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收支预算总表支出栏、基本支出表、项目支出表按经济分类和支出功能分类科目编制，反映廊坊市人民政府国有资产监督管理委员会本级预算中支出预算的总体情况。2023年支出预算7734万元，其中基本支出2711万元，包括人员经费2452.88万元和日常公用经费258.12万元；项目支出5023万元，主要为一般公共预算支持国有企事业发展等专项资金3227万元、国有资本经营预算安排项目资金1796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2023年预算收支安排7734万元，较2022年预算减少42.63万元，其中：基本支出增加16.19万元，主要为人员经费支出增加14.27万元，日常公用经费支出增加1.92万元；项目支出减少58.82万元，主要为一般公共预算安排项目公交场站建设项目资金减少。</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258.12</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廊坊市人民政府国有资产监督管理委员会</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2023年，我部门财政拨款“三公”经费预算安排6.53万元，其中因公出国（境）费0万元；公务用车购置及运维费5.02万元（其中：公务用车购置费为0万元，公务用车运维费5.02万元)；公务接待费1.51万元。与2022年相比减少0.98万元，其中，公务用车购置及运维费减少0.98万元（其中：公务用车购置费0万元，公务用车运维费减少0.98万元)，减少的主要原因是我部门切实落实勤俭节约各项规定，压减公车运行经费支出。公务接待费1.51万元与2022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单位整体绩效目标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以习近平新时代中国特色社会主义思想为指导，深入贯彻党的二十大精神，全面落实省、市工作部署和重大决策，坚持新发展理念和高质量发展要求，以改革求突破，用创新谋发展，全力以赴开创国有经济发展新局面。健全完善国有企业领导班子和领导人员经营业绩考核体系，完成国企改革三年行动圆满收官工作；优化国有资产结构布局，推动国有资产重组整合，提升国有企业产业带动能力和公共服务水平；完善国有企业监管协调协作机制，强化监管企业财务预算管理，加强企业财务指标动态监测和经济运行分析，切实防范化解国有企业债务融资、项目投资、经营决策、生产安全等领域风险隐患，为全市经济社会发展、民生保障贡献国资力量。</w:t>
      </w:r>
    </w:p>
    <w:p>
      <w:pPr>
        <w:spacing w:line="584" w:lineRule="exact"/>
        <w:ind w:firstLine="643" w:firstLineChars="200"/>
        <w:rPr>
          <w:rFonts w:ascii="Times New Roman" w:hAnsi="Times New Roman" w:eastAsia="仿宋_GB2312" w:cs="Times New Roman"/>
          <w:b/>
          <w:sz w:val="32"/>
          <w:szCs w:val="32"/>
        </w:rPr>
      </w:pPr>
      <w:r>
        <w:rPr>
          <w:rFonts w:hint="eastAsia" w:ascii="楷体_GB2312" w:eastAsia="楷体_GB2312" w:cs="Times New Roman"/>
          <w:b/>
          <w:sz w:val="32"/>
          <w:szCs w:val="32"/>
        </w:rPr>
        <w:t>（二）分项绩效目标</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1、</w:t>
      </w:r>
      <w:r>
        <w:rPr>
          <w:rFonts w:hint="eastAsia" w:ascii="仿宋_GB2312" w:eastAsia="仿宋_GB2312" w:cs="Times New Roman"/>
          <w:sz w:val="32"/>
          <w:szCs w:val="32"/>
        </w:rPr>
        <w:t>完成监管企业上一年度产权登记信息统计</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绩效目标：完成监管企业上一年度产权登记信息统计工作，及时掌握企业产权变化状况。</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 xml:space="preserve">绩效指标：对监管企业上一年度产权信息进行统计登记统计，合规率不低于90%。    </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2、</w:t>
      </w:r>
      <w:r>
        <w:rPr>
          <w:rFonts w:hint="eastAsia" w:ascii="仿宋_GB2312" w:eastAsia="仿宋_GB2312" w:cs="Times New Roman"/>
          <w:sz w:val="32"/>
          <w:szCs w:val="32"/>
        </w:rPr>
        <w:t>积极做好国有资产数据统计分析利用工作</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绩效目标：向省国资委上报廊坊市国有企业经济运行情况快报报表；每年向省国资委、市人大、市统计局报送廊坊市国有企业年度决算报表。</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绩效指标：组织廊坊市国有企业每月8日前向省国资委上报经济运行情况快报报表；向省国资委、市人大、市统计局报送年度决算报表。及时合规上报相关数据，组织企业不少于100余家。</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3、</w:t>
      </w:r>
      <w:r>
        <w:rPr>
          <w:rFonts w:hint="eastAsia" w:ascii="仿宋_GB2312" w:eastAsia="仿宋_GB2312" w:cs="Times New Roman"/>
          <w:sz w:val="32"/>
          <w:szCs w:val="32"/>
        </w:rPr>
        <w:t>编制完成国有资本经营预算建议计划，做好国有资本收益上缴工作</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绩效目标：编制国有资本经营预算建议计划，组织做好国有资本收益上缴工作。</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指标：严格按照《廊坊市市级国有资本经营预算管理办法》（廊财建〔2020〕84号）《廊坊市财政局关于市属企业国有资本收益征收有关问题的通知》（廊财建〔2019〕86号）文件要求，审核完成90%以上应缴收益企业。12月底前，完成国有资本经营预算建议计划编制。</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4、</w:t>
      </w:r>
      <w:r>
        <w:rPr>
          <w:rFonts w:hint="eastAsia" w:ascii="仿宋_GB2312" w:eastAsia="仿宋_GB2312" w:cs="Times New Roman"/>
          <w:sz w:val="32"/>
          <w:szCs w:val="32"/>
        </w:rPr>
        <w:t xml:space="preserve">完成企业领导人员任免和考核工作      </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目标：通过法定程序对所监管企业法人进行任免、考核，深入研究企业实际、行业特点和岗位需求，运用定性评价与定量考核相结合、多维度测评等方式，完成对监管企业领导班子和领导人员进行年度综合考评评价和任免。</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绩效指标：考核监管企业和各企业领导班子成员覆盖率100%。对监管企业领导班子和领导人员进行年度综合考评评价和任免，考核称职率90%以上。</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5、</w:t>
      </w:r>
      <w:r>
        <w:rPr>
          <w:rFonts w:hint="eastAsia" w:ascii="仿宋_GB2312" w:eastAsia="仿宋_GB2312" w:cs="Times New Roman"/>
          <w:sz w:val="32"/>
          <w:szCs w:val="32"/>
        </w:rPr>
        <w:t>推进全面从严治党主体责任落实</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绩效目标：通过</w:t>
      </w:r>
      <w:r>
        <w:rPr>
          <w:rFonts w:hint="eastAsia" w:ascii="仿宋_GB2312" w:eastAsia="仿宋_GB2312" w:cs="Times New Roman"/>
          <w:sz w:val="32"/>
          <w:szCs w:val="32"/>
          <w:lang w:eastAsia="zh-CN"/>
        </w:rPr>
        <w:t>全面从严治党</w:t>
      </w:r>
      <w:r>
        <w:rPr>
          <w:rFonts w:hint="eastAsia" w:ascii="仿宋_GB2312" w:eastAsia="仿宋_GB2312" w:cs="Times New Roman"/>
          <w:sz w:val="32"/>
          <w:szCs w:val="32"/>
        </w:rPr>
        <w:t>主体责任，确保全面从严治党要求贯彻落实。</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绩效指标：调整完善落实全面从严治党主体责任清单，形成目标明确、行之有效的制度运行体系，确保全面从严治党主体责任100%落实。</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6、</w:t>
      </w:r>
      <w:r>
        <w:rPr>
          <w:rFonts w:hint="eastAsia" w:ascii="仿宋_GB2312" w:eastAsia="仿宋_GB2312" w:cs="Times New Roman"/>
          <w:sz w:val="32"/>
          <w:szCs w:val="32"/>
        </w:rPr>
        <w:t>完成国企改革三年行动收官工作。</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绩效目标：完成国企改革三年行动收官工作</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绩效指标：提升各项改革任务完成质量和实际效果，认真归纳整理各项任务佐证资料，完成国企改革三年行动收官。</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7、</w:t>
      </w:r>
      <w:r>
        <w:rPr>
          <w:rFonts w:hint="eastAsia" w:ascii="仿宋_GB2312" w:eastAsia="仿宋_GB2312" w:cs="Times New Roman"/>
          <w:sz w:val="32"/>
          <w:szCs w:val="32"/>
        </w:rPr>
        <w:t>完成2022年度监管企业负责人经营业绩考核评价及2023年指标下达。</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绩效目标：完成17家监管企业（含参股企业、领导人员由我委管理的子企业）及具备条件的新纳入监管企业负责人经营业绩考核评价工作，并确定考核结果。绩效指标：完善监管企业中国特色现代企业制度。</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8、</w:t>
      </w:r>
      <w:r>
        <w:rPr>
          <w:rFonts w:hint="eastAsia" w:ascii="仿宋_GB2312" w:eastAsia="仿宋_GB2312" w:cs="Times New Roman"/>
          <w:sz w:val="32"/>
          <w:szCs w:val="32"/>
        </w:rPr>
        <w:t>完成国有企业退休人员社会化管理财政补助资金补助工作</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绩效目标：完成国有企业退休人员社会化管理财政补助资金补助工作，切实减轻企业负担。</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绩效指标：会同市财政局完成国企退休人员社会化管理补助资金统计工作。</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9、</w:t>
      </w:r>
      <w:r>
        <w:rPr>
          <w:rFonts w:hint="eastAsia" w:ascii="仿宋_GB2312" w:eastAsia="仿宋_GB2312" w:cs="Times New Roman"/>
          <w:sz w:val="32"/>
          <w:szCs w:val="32"/>
        </w:rPr>
        <w:t>完成国有企业职教幼教退休教师待遇落实工作。</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绩效目标：完成国有企业职教幼教退休教师待遇落实工作，维护国有企业职教幼教退休教师的合法权益和我市和谐稳定局面。</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绩效指标：完成538名国有企业职教幼教退休教师补贴资金的发放工作，补贴资金按时足额发放到位。</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10、</w:t>
      </w:r>
      <w:r>
        <w:rPr>
          <w:rFonts w:hint="eastAsia" w:ascii="仿宋_GB2312" w:eastAsia="仿宋_GB2312" w:cs="Times New Roman"/>
          <w:sz w:val="32"/>
          <w:szCs w:val="32"/>
        </w:rPr>
        <w:t>完成离退休干部慰问工作</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绩效目标：通过完成离退休干部春节、重阳节、过生日、生病住院、去世等走访慰问体检工作，切实体现党和政府对老同志的关怀。</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绩效指标：完成159名老干部春节、重阳节走访慰问工作，完成慰问生病住院老干部、慰问去世老干部的遗属工作，完成35名老干部过生日走访慰问工作。</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11、</w:t>
      </w:r>
      <w:r>
        <w:rPr>
          <w:rFonts w:hint="eastAsia" w:ascii="仿宋_GB2312" w:eastAsia="仿宋_GB2312" w:cs="Times New Roman"/>
          <w:sz w:val="32"/>
          <w:szCs w:val="32"/>
        </w:rPr>
        <w:t>国资系统安全生产和环境保护工作态势平稳</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绩效目标：达到廊坊市国资委监管企业不发生重大生产安全和生态环境保护事故。</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绩效指标： 廊坊市国资委监管企业安全生产和生态环境保护事故0死亡人数。</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12、</w:t>
      </w:r>
      <w:r>
        <w:rPr>
          <w:rFonts w:hint="eastAsia" w:ascii="仿宋_GB2312" w:eastAsia="仿宋_GB2312" w:cs="Times New Roman"/>
          <w:sz w:val="32"/>
          <w:szCs w:val="32"/>
        </w:rPr>
        <w:t xml:space="preserve">完成所属单位职称申报工作   </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绩效目标：完成所属单位职称申报工作</w:t>
      </w:r>
    </w:p>
    <w:p>
      <w:pPr>
        <w:spacing w:line="584" w:lineRule="exact"/>
        <w:ind w:firstLine="704" w:firstLineChars="220"/>
        <w:rPr>
          <w:rFonts w:ascii="仿宋_GB2312" w:eastAsia="仿宋_GB2312" w:cs="Times New Roman"/>
          <w:sz w:val="32"/>
          <w:szCs w:val="32"/>
        </w:rPr>
      </w:pPr>
      <w:r>
        <w:rPr>
          <w:rFonts w:hint="eastAsia" w:ascii="仿宋_GB2312" w:eastAsia="仿宋_GB2312" w:cs="Times New Roman"/>
          <w:sz w:val="32"/>
          <w:szCs w:val="32"/>
        </w:rPr>
        <w:t xml:space="preserve">绩效指标：指导所属单位完成职称申报工作，争取通过率在90%以上。 </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 xml:space="preserve"> </w:t>
      </w:r>
      <w:r>
        <w:rPr>
          <w:rFonts w:hint="eastAsia" w:ascii="楷体_GB2312" w:eastAsia="楷体_GB2312" w:cs="Times New Roman"/>
          <w:b/>
          <w:sz w:val="32"/>
          <w:szCs w:val="32"/>
        </w:rPr>
        <w:t>（三）工作保障措施</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1、</w:t>
      </w:r>
      <w:r>
        <w:rPr>
          <w:rFonts w:hint="eastAsia" w:ascii="仿宋_GB2312" w:eastAsia="仿宋_GB2312" w:cs="Times New Roman"/>
          <w:sz w:val="32"/>
          <w:szCs w:val="32"/>
        </w:rPr>
        <w:t>完善制度建设。我委在预算绩效制度工作中，统一领导，统筹谋划，分科管理，规范程序，有序推进。印发了《廊坊市人民政府国有资产监督管理委员会预算绩效管理办法》等科学规范、符合实际、便于操作的各项规章制度；着力加强预算绩效目标管理，完善绩效目标申报、审核、评价机制等各项制度。此外，还强化责任担当，把全面实施预算绩效管理摆上重要日程，科学安排部署，建立健全委预算绩效管理工作机制，形成了完备的预算绩效管理工作体系，筑牢制度基础。</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2、</w:t>
      </w:r>
      <w:r>
        <w:rPr>
          <w:rFonts w:hint="eastAsia" w:ascii="仿宋_GB2312" w:eastAsia="仿宋_GB2312" w:cs="Times New Roman"/>
          <w:sz w:val="32"/>
          <w:szCs w:val="32"/>
        </w:rPr>
        <w:t>加强支出管理。我委遵循先有预算、后有支出原则，严格执行预算，严禁超预算或者无预算安排支出，通过优化支出结构、编细编实预算、按照支出程序及时支付资金、6月底前预算支出达到50%、10月底前支出90%。</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3、</w:t>
      </w:r>
      <w:r>
        <w:rPr>
          <w:rFonts w:hint="eastAsia" w:ascii="仿宋_GB2312" w:eastAsia="仿宋_GB2312" w:cs="Times New Roman"/>
          <w:sz w:val="32"/>
          <w:szCs w:val="32"/>
        </w:rPr>
        <w:t>加强绩效运行监控。落实责任制度，明确项目单位责任，做到责任明确。建立了完善的报表制度，要求项目单位实时将工作进度与资金使用情况进行上报，及时进行绩效监督。建立了严格的项目资金预算管理监督制度，防止舞弊行为的发生，防止项目资金被挤占挪用。发现问题及时让项目单位整改，确保项目资金的有效使用。</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4、</w:t>
      </w:r>
      <w:r>
        <w:rPr>
          <w:rFonts w:hint="eastAsia" w:ascii="仿宋_GB2312" w:eastAsia="仿宋_GB2312" w:cs="Times New Roman"/>
          <w:sz w:val="32"/>
          <w:szCs w:val="32"/>
        </w:rPr>
        <w:t>做好绩效自评。按要求开展上年度部门预算绩效自评和重点评价工作，对评价中发现的问题及时整改，调整优化支出结构，提高财政资金使用效益。</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5、</w:t>
      </w:r>
      <w:r>
        <w:rPr>
          <w:rFonts w:hint="eastAsia" w:ascii="仿宋_GB2312" w:eastAsia="仿宋_GB2312" w:cs="Times New Roman"/>
          <w:sz w:val="32"/>
          <w:szCs w:val="32"/>
        </w:rPr>
        <w:t>规范财务资产管理。我委完善了财务管理制度，严格审批程序，完善了固定资产管理制度，加强固定资产登记、使用和报废处置管理，做到支出合理，物尽其用。</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6、</w:t>
      </w:r>
      <w:r>
        <w:rPr>
          <w:rFonts w:hint="eastAsia" w:ascii="仿宋_GB2312" w:eastAsia="仿宋_GB2312" w:cs="Times New Roman"/>
          <w:sz w:val="32"/>
          <w:szCs w:val="32"/>
        </w:rPr>
        <w:t>加强内部监督。加强内部监督制度建设，对绩效运行情况、重大支出决策、对外投资、资产处置及其他重要经济业务事项的决策和执行进行督导，聘请中介机构对我委财务情况进行内部审计，并配合做好审计、财政监督等外部监督工作，确保财政资金安全有效。</w:t>
      </w:r>
    </w:p>
    <w:p>
      <w:pPr>
        <w:spacing w:line="584" w:lineRule="exact"/>
        <w:ind w:firstLine="707" w:firstLineChars="220"/>
        <w:rPr>
          <w:rFonts w:ascii="仿宋_GB2312" w:eastAsia="仿宋_GB2312" w:cs="Times New Roman"/>
          <w:sz w:val="32"/>
          <w:szCs w:val="32"/>
        </w:rPr>
      </w:pPr>
      <w:r>
        <w:rPr>
          <w:rFonts w:hint="eastAsia" w:ascii="Times New Roman" w:hAnsi="Times New Roman" w:eastAsia="仿宋_GB2312" w:cs="Times New Roman"/>
          <w:b/>
          <w:sz w:val="32"/>
          <w:szCs w:val="32"/>
        </w:rPr>
        <w:t>7、</w:t>
      </w:r>
      <w:r>
        <w:rPr>
          <w:rFonts w:hint="eastAsia" w:ascii="仿宋_GB2312" w:eastAsia="仿宋_GB2312" w:cs="Times New Roman"/>
          <w:sz w:val="32"/>
          <w:szCs w:val="32"/>
        </w:rPr>
        <w:t>加强宣传培训调研。加强人员培训，拟开展1次监管企业领导人员能力提升专题培训班、1次法律教育培训，提升对监管企业的监管能力；加大宣传力度，强化预算绩效管理意识，促进预算绩效管理水平进一步提升。</w:t>
      </w: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（四）单位整体支出绩效指标</w:t>
      </w:r>
    </w:p>
    <w:tbl>
      <w:tblPr>
        <w:tblStyle w:val="10"/>
        <w:tblW w:w="0" w:type="auto"/>
        <w:jc w:val="center"/>
        <w:tblLayout w:type="fixed"/>
        <w:tblCellMar>
          <w:top w:w="0" w:type="dxa"/>
          <w:left w:w="11" w:type="dxa"/>
          <w:bottom w:w="0" w:type="dxa"/>
          <w:right w:w="11" w:type="dxa"/>
        </w:tblCellMar>
      </w:tblPr>
      <w:tblGrid>
        <w:gridCol w:w="866"/>
        <w:gridCol w:w="848"/>
        <w:gridCol w:w="850"/>
        <w:gridCol w:w="1256"/>
        <w:gridCol w:w="1256"/>
        <w:gridCol w:w="464"/>
        <w:gridCol w:w="497"/>
        <w:gridCol w:w="495"/>
        <w:gridCol w:w="1796"/>
      </w:tblGrid>
      <w:tr>
        <w:tblPrEx>
          <w:tblCellMar>
            <w:top w:w="0" w:type="dxa"/>
            <w:left w:w="11" w:type="dxa"/>
            <w:bottom w:w="0" w:type="dxa"/>
            <w:right w:w="11" w:type="dxa"/>
          </w:tblCellMar>
        </w:tblPrEx>
        <w:trPr>
          <w:trHeight w:val="286" w:hRule="atLeast"/>
          <w:jc w:val="center"/>
        </w:trPr>
        <w:tc>
          <w:tcPr>
            <w:tcW w:w="866" w:type="dxa"/>
            <w:vMerge w:val="restart"/>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一级指标</w:t>
            </w:r>
          </w:p>
        </w:tc>
        <w:tc>
          <w:tcPr>
            <w:tcW w:w="848" w:type="dxa"/>
            <w:vMerge w:val="restart"/>
            <w:tcBorders>
              <w:top w:val="single" w:color="auto" w:sz="4" w:space="0"/>
              <w:left w:val="nil"/>
              <w:bottom w:val="single" w:color="auto" w:sz="4" w:space="0"/>
              <w:right w:val="single" w:color="auto" w:sz="4" w:space="0"/>
            </w:tcBorders>
            <w:vAlign w:val="center"/>
          </w:tcPr>
          <w:p>
            <w:pPr>
              <w:widowControl/>
              <w:overflowPunct w:val="0"/>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二级</w:t>
            </w:r>
            <w:r>
              <w:rPr>
                <w:rFonts w:ascii="Times New Roman" w:hAnsi="Times New Roman" w:eastAsia="仿宋_GB2312" w:cs="Times New Roman"/>
                <w:kern w:val="0"/>
                <w:sz w:val="18"/>
                <w:szCs w:val="18"/>
              </w:rPr>
              <w:t>指标</w:t>
            </w:r>
          </w:p>
        </w:tc>
        <w:tc>
          <w:tcPr>
            <w:tcW w:w="850"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三级指标　</w:t>
            </w:r>
          </w:p>
        </w:tc>
        <w:tc>
          <w:tcPr>
            <w:tcW w:w="1256" w:type="dxa"/>
            <w:vMerge w:val="restart"/>
            <w:tcBorders>
              <w:top w:val="single" w:color="auto" w:sz="4" w:space="0"/>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评（扣）分标准</w:t>
            </w:r>
          </w:p>
        </w:tc>
        <w:tc>
          <w:tcPr>
            <w:tcW w:w="125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绩效指标描述</w:t>
            </w:r>
          </w:p>
        </w:tc>
        <w:tc>
          <w:tcPr>
            <w:tcW w:w="1456" w:type="dxa"/>
            <w:gridSpan w:val="3"/>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指标值</w:t>
            </w:r>
          </w:p>
        </w:tc>
        <w:tc>
          <w:tcPr>
            <w:tcW w:w="1796"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指标值确定依据</w:t>
            </w:r>
          </w:p>
        </w:tc>
      </w:tr>
      <w:tr>
        <w:tblPrEx>
          <w:tblCellMar>
            <w:top w:w="0" w:type="dxa"/>
            <w:left w:w="11" w:type="dxa"/>
            <w:bottom w:w="0" w:type="dxa"/>
            <w:right w:w="11" w:type="dxa"/>
          </w:tblCellMar>
        </w:tblPrEx>
        <w:trPr>
          <w:trHeight w:val="214" w:hRule="atLeast"/>
          <w:jc w:val="center"/>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top w:val="single" w:color="auto" w:sz="4" w:space="0"/>
              <w:left w:val="nil"/>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vMerge w:val="continue"/>
            <w:tcBorders>
              <w:top w:val="single" w:color="auto" w:sz="4" w:space="0"/>
              <w:left w:val="nil"/>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1256" w:type="dxa"/>
            <w:vMerge w:val="continue"/>
            <w:tcBorders>
              <w:left w:val="nil"/>
              <w:bottom w:val="single" w:color="auto" w:sz="4" w:space="0"/>
              <w:right w:val="single" w:color="auto" w:sz="4" w:space="0"/>
            </w:tcBorders>
          </w:tcPr>
          <w:p>
            <w:pPr>
              <w:adjustRightInd w:val="0"/>
              <w:snapToGrid w:val="0"/>
              <w:jc w:val="center"/>
              <w:rPr>
                <w:rFonts w:ascii="Times New Roman" w:hAnsi="Times New Roman" w:eastAsia="仿宋_GB2312" w:cs="Times New Roman"/>
                <w:color w:val="000000"/>
                <w:kern w:val="0"/>
                <w:sz w:val="18"/>
                <w:szCs w:val="18"/>
              </w:rPr>
            </w:pPr>
          </w:p>
        </w:tc>
        <w:tc>
          <w:tcPr>
            <w:tcW w:w="125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464" w:type="dxa"/>
            <w:tcBorders>
              <w:top w:val="single" w:color="auto" w:sz="4" w:space="0"/>
              <w:left w:val="nil"/>
              <w:bottom w:val="single" w:color="auto" w:sz="4" w:space="0"/>
              <w:right w:val="single" w:color="auto" w:sz="4" w:space="0"/>
            </w:tcBorders>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符号</w:t>
            </w:r>
          </w:p>
        </w:tc>
        <w:tc>
          <w:tcPr>
            <w:tcW w:w="497" w:type="dxa"/>
            <w:tcBorders>
              <w:top w:val="single" w:color="auto" w:sz="4" w:space="0"/>
              <w:left w:val="nil"/>
              <w:bottom w:val="single" w:color="auto" w:sz="4" w:space="0"/>
              <w:right w:val="single" w:color="auto" w:sz="4" w:space="0"/>
            </w:tcBorders>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值</w:t>
            </w:r>
          </w:p>
        </w:tc>
        <w:tc>
          <w:tcPr>
            <w:tcW w:w="495" w:type="dxa"/>
            <w:tcBorders>
              <w:top w:val="single" w:color="auto" w:sz="4" w:space="0"/>
              <w:left w:val="nil"/>
              <w:bottom w:val="single" w:color="auto" w:sz="4" w:space="0"/>
              <w:right w:val="single" w:color="auto" w:sz="4" w:space="0"/>
            </w:tcBorders>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单位</w:t>
            </w:r>
          </w:p>
        </w:tc>
        <w:tc>
          <w:tcPr>
            <w:tcW w:w="1796" w:type="dxa"/>
            <w:vMerge w:val="continue"/>
            <w:tcBorders>
              <w:top w:val="single" w:color="auto" w:sz="4" w:space="0"/>
              <w:left w:val="nil"/>
              <w:bottom w:val="single" w:color="auto" w:sz="4" w:space="0"/>
              <w:right w:val="single" w:color="auto" w:sz="4" w:space="0"/>
            </w:tcBorders>
            <w:vAlign w:val="center"/>
          </w:tcPr>
          <w:p>
            <w:pPr>
              <w:rPr>
                <w:rFonts w:ascii="Times New Roman" w:hAnsi="Times New Roman" w:cs="Times New Roman"/>
                <w:color w:val="000000"/>
                <w:sz w:val="18"/>
                <w:szCs w:val="18"/>
              </w:rPr>
            </w:pPr>
          </w:p>
        </w:tc>
      </w:tr>
      <w:tr>
        <w:tblPrEx>
          <w:tblCellMar>
            <w:top w:w="0" w:type="dxa"/>
            <w:left w:w="11" w:type="dxa"/>
            <w:bottom w:w="0" w:type="dxa"/>
            <w:right w:w="11" w:type="dxa"/>
          </w:tblCellMar>
        </w:tblPrEx>
        <w:trPr>
          <w:trHeight w:val="1402" w:hRule="atLeast"/>
          <w:jc w:val="center"/>
        </w:trPr>
        <w:tc>
          <w:tcPr>
            <w:tcW w:w="866" w:type="dxa"/>
            <w:vMerge w:val="restart"/>
            <w:tcBorders>
              <w:top w:val="nil"/>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产出</w:t>
            </w:r>
          </w:p>
        </w:tc>
        <w:tc>
          <w:tcPr>
            <w:tcW w:w="848" w:type="dxa"/>
            <w:vMerge w:val="restart"/>
            <w:tcBorders>
              <w:top w:val="nil"/>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数量</w:t>
            </w:r>
          </w:p>
        </w:tc>
        <w:tc>
          <w:tcPr>
            <w:tcW w:w="85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国有资产数据统计分析企业数量</w:t>
            </w:r>
          </w:p>
        </w:tc>
        <w:tc>
          <w:tcPr>
            <w:tcW w:w="1256" w:type="dxa"/>
            <w:tcBorders>
              <w:top w:val="single" w:color="auto" w:sz="4" w:space="0"/>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报表企业≥100家得满分，&lt;100家得零分。</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组织向省国资委上报经济运行情况快报报表廊坊市国有企业数量</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100</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家</w:t>
            </w: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报表</w:t>
            </w:r>
          </w:p>
        </w:tc>
      </w:tr>
      <w:tr>
        <w:tblPrEx>
          <w:tblCellMar>
            <w:top w:w="0" w:type="dxa"/>
            <w:left w:w="11" w:type="dxa"/>
            <w:bottom w:w="0" w:type="dxa"/>
            <w:right w:w="11" w:type="dxa"/>
          </w:tblCellMar>
        </w:tblPrEx>
        <w:trPr>
          <w:trHeight w:val="1419" w:hRule="exact"/>
          <w:jc w:val="center"/>
        </w:trPr>
        <w:tc>
          <w:tcPr>
            <w:tcW w:w="866"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848"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85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考核企业领导人员覆盖率</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覆盖率=100%得满分，每降低10%，扣权重分20%，扣完为止。</w:t>
            </w:r>
          </w:p>
        </w:tc>
        <w:tc>
          <w:tcPr>
            <w:tcW w:w="12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考核企业领导人员覆盖率</w:t>
            </w:r>
          </w:p>
        </w:tc>
        <w:tc>
          <w:tcPr>
            <w:tcW w:w="46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100</w:t>
            </w:r>
          </w:p>
        </w:tc>
        <w:tc>
          <w:tcPr>
            <w:tcW w:w="49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179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考核表</w:t>
            </w:r>
          </w:p>
        </w:tc>
      </w:tr>
      <w:tr>
        <w:tblPrEx>
          <w:tblCellMar>
            <w:top w:w="0" w:type="dxa"/>
            <w:left w:w="11" w:type="dxa"/>
            <w:bottom w:w="0" w:type="dxa"/>
            <w:right w:w="11" w:type="dxa"/>
          </w:tblCellMar>
        </w:tblPrEx>
        <w:trPr>
          <w:trHeight w:val="1283" w:hRule="exact"/>
          <w:jc w:val="center"/>
        </w:trPr>
        <w:tc>
          <w:tcPr>
            <w:tcW w:w="866"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848"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85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国企职教幼教退休教师发放补贴人数</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补贴人数=538名得满分，每减少（增加）54名，减少权重10%，扣完为止。</w:t>
            </w:r>
          </w:p>
        </w:tc>
        <w:tc>
          <w:tcPr>
            <w:tcW w:w="1256" w:type="dxa"/>
            <w:tcBorders>
              <w:top w:val="nil"/>
              <w:left w:val="single" w:color="auto" w:sz="4" w:space="0"/>
              <w:bottom w:val="single" w:color="auto" w:sz="4" w:space="0"/>
              <w:right w:val="single" w:color="auto" w:sz="4" w:space="0"/>
            </w:tcBorders>
          </w:tcPr>
          <w:p>
            <w:pPr>
              <w:adjustRightInd w:val="0"/>
              <w:snapToGrid w:val="0"/>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考察国企职教幼教退休教师发放补贴人数情况</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538</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名</w:t>
            </w: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教育局、人社局国有企业职教幼教资格认定人员名单</w:t>
            </w:r>
          </w:p>
        </w:tc>
      </w:tr>
      <w:tr>
        <w:tblPrEx>
          <w:tblCellMar>
            <w:top w:w="0" w:type="dxa"/>
            <w:left w:w="11" w:type="dxa"/>
            <w:bottom w:w="0" w:type="dxa"/>
            <w:right w:w="11" w:type="dxa"/>
          </w:tblCellMar>
        </w:tblPrEx>
        <w:trPr>
          <w:trHeight w:val="847"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支持高新区公交场站项目数量</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数量=1个得满分，大于或小于1个得零分。</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财政支持公交场站项目数量</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1</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个</w:t>
            </w: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预算批复文本</w:t>
            </w:r>
          </w:p>
        </w:tc>
      </w:tr>
      <w:tr>
        <w:tblPrEx>
          <w:tblCellMar>
            <w:top w:w="0" w:type="dxa"/>
            <w:left w:w="11" w:type="dxa"/>
            <w:bottom w:w="0" w:type="dxa"/>
            <w:right w:w="11" w:type="dxa"/>
          </w:tblCellMar>
        </w:tblPrEx>
        <w:trPr>
          <w:trHeight w:val="988"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国有资本经营预算覆盖率</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覆盖率≥90%得满分，&lt;90%得零分</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国有资本经营预算企业数量/国资直接监管企业数量</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90</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报表</w:t>
            </w:r>
          </w:p>
        </w:tc>
      </w:tr>
      <w:tr>
        <w:tblPrEx>
          <w:tblCellMar>
            <w:top w:w="0" w:type="dxa"/>
            <w:left w:w="11" w:type="dxa"/>
            <w:bottom w:w="0" w:type="dxa"/>
            <w:right w:w="11" w:type="dxa"/>
          </w:tblCellMar>
        </w:tblPrEx>
        <w:trPr>
          <w:trHeight w:val="1835" w:hRule="atLeas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慰问离退休干部人数</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全部完成得满分，每减少16人扣10%的权重分，扣完为止</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慰问离退休干部人数</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159</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人</w:t>
            </w: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慰问表</w:t>
            </w:r>
          </w:p>
        </w:tc>
      </w:tr>
      <w:tr>
        <w:tblPrEx>
          <w:tblCellMar>
            <w:top w:w="0" w:type="dxa"/>
            <w:left w:w="11" w:type="dxa"/>
            <w:bottom w:w="0" w:type="dxa"/>
            <w:right w:w="11" w:type="dxa"/>
          </w:tblCellMar>
        </w:tblPrEx>
        <w:trPr>
          <w:trHeight w:val="994"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850" w:type="dxa"/>
            <w:vMerge w:val="restart"/>
            <w:tcBorders>
              <w:top w:val="single" w:color="auto" w:sz="4" w:space="0"/>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国有资产数据统计分析完成率</w:t>
            </w:r>
          </w:p>
        </w:tc>
        <w:tc>
          <w:tcPr>
            <w:tcW w:w="1256" w:type="dxa"/>
            <w:vMerge w:val="restart"/>
            <w:tcBorders>
              <w:top w:val="single" w:color="auto" w:sz="4" w:space="0"/>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报表完成率≥90%得满分，&lt;90%得零分</w:t>
            </w:r>
          </w:p>
        </w:tc>
        <w:tc>
          <w:tcPr>
            <w:tcW w:w="1256"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组织向省国资委上报经济运行情况快报报表完成率</w:t>
            </w:r>
          </w:p>
        </w:tc>
        <w:tc>
          <w:tcPr>
            <w:tcW w:w="464" w:type="dxa"/>
            <w:vMerge w:val="restart"/>
            <w:tcBorders>
              <w:top w:val="single" w:color="auto" w:sz="4" w:space="0"/>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vMerge w:val="restart"/>
            <w:tcBorders>
              <w:top w:val="single" w:color="auto" w:sz="4" w:space="0"/>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90</w:t>
            </w:r>
          </w:p>
        </w:tc>
        <w:tc>
          <w:tcPr>
            <w:tcW w:w="495" w:type="dxa"/>
            <w:vMerge w:val="restart"/>
            <w:tcBorders>
              <w:top w:val="single" w:color="auto" w:sz="4" w:space="0"/>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1796" w:type="dxa"/>
            <w:vMerge w:val="restart"/>
            <w:tcBorders>
              <w:top w:val="single" w:color="auto" w:sz="4" w:space="0"/>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报表</w:t>
            </w:r>
          </w:p>
        </w:tc>
      </w:tr>
      <w:tr>
        <w:tblPrEx>
          <w:tblCellMar>
            <w:top w:w="0" w:type="dxa"/>
            <w:left w:w="11" w:type="dxa"/>
            <w:bottom w:w="0" w:type="dxa"/>
            <w:right w:w="11" w:type="dxa"/>
          </w:tblCellMar>
        </w:tblPrEx>
        <w:trPr>
          <w:trHeight w:val="994"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restart"/>
            <w:tcBorders>
              <w:top w:val="nil"/>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质量</w:t>
            </w:r>
          </w:p>
        </w:tc>
        <w:tc>
          <w:tcPr>
            <w:tcW w:w="850" w:type="dxa"/>
            <w:vMerge w:val="continue"/>
            <w:tcBorders>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1256" w:type="dxa"/>
            <w:vMerge w:val="continue"/>
            <w:tcBorders>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1256"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464" w:type="dxa"/>
            <w:vMerge w:val="continue"/>
            <w:tcBorders>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497" w:type="dxa"/>
            <w:vMerge w:val="continue"/>
            <w:tcBorders>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495" w:type="dxa"/>
            <w:vMerge w:val="continue"/>
            <w:tcBorders>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vMerge w:val="continue"/>
            <w:tcBorders>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r>
      <w:tr>
        <w:tblPrEx>
          <w:tblCellMar>
            <w:top w:w="0" w:type="dxa"/>
            <w:left w:w="11" w:type="dxa"/>
            <w:bottom w:w="0" w:type="dxa"/>
            <w:right w:w="11" w:type="dxa"/>
          </w:tblCellMar>
        </w:tblPrEx>
        <w:trPr>
          <w:trHeight w:val="776"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85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考核企业领导人员称职率</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称职率≥90%得满分，&lt;90%得零分</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考核国有企业领导人员称职率</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90</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考核名单</w:t>
            </w:r>
          </w:p>
        </w:tc>
      </w:tr>
      <w:tr>
        <w:tblPrEx>
          <w:tblCellMar>
            <w:top w:w="0" w:type="dxa"/>
            <w:left w:w="11" w:type="dxa"/>
            <w:bottom w:w="0" w:type="dxa"/>
            <w:right w:w="11" w:type="dxa"/>
          </w:tblCellMar>
        </w:tblPrEx>
        <w:trPr>
          <w:trHeight w:val="1084"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85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　</w:t>
            </w:r>
            <w:r>
              <w:rPr>
                <w:rFonts w:hint="eastAsia" w:ascii="Times New Roman" w:hAnsi="Times New Roman" w:eastAsia="仿宋_GB2312" w:cs="Times New Roman"/>
                <w:color w:val="000000"/>
                <w:kern w:val="0"/>
                <w:sz w:val="18"/>
                <w:szCs w:val="18"/>
              </w:rPr>
              <w:t>应补尽补率</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补贴率=100%得满分，每降低10%，扣权重分20%，扣完为止</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　</w:t>
            </w:r>
            <w:r>
              <w:rPr>
                <w:rFonts w:hint="eastAsia" w:ascii="Times New Roman" w:hAnsi="Times New Roman" w:eastAsia="仿宋_GB2312" w:cs="Times New Roman"/>
                <w:color w:val="000000"/>
                <w:kern w:val="0"/>
                <w:sz w:val="18"/>
                <w:szCs w:val="18"/>
              </w:rPr>
              <w:t>考察国企职教幼教退休教师补贴发放情况</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100</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国有企业职教幼教退休教师补贴审批表</w:t>
            </w:r>
          </w:p>
        </w:tc>
      </w:tr>
      <w:tr>
        <w:tblPrEx>
          <w:tblCellMar>
            <w:top w:w="0" w:type="dxa"/>
            <w:left w:w="11" w:type="dxa"/>
            <w:bottom w:w="0" w:type="dxa"/>
            <w:right w:w="11" w:type="dxa"/>
          </w:tblCellMar>
        </w:tblPrEx>
        <w:trPr>
          <w:trHeight w:val="1025"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支持公交场站项目完成率</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完成率=100%得满分，低于100%得零分</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支持公交场站项目完成率</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100</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拨款单</w:t>
            </w:r>
          </w:p>
        </w:tc>
      </w:tr>
      <w:tr>
        <w:tblPrEx>
          <w:tblCellMar>
            <w:top w:w="0" w:type="dxa"/>
            <w:left w:w="11" w:type="dxa"/>
            <w:bottom w:w="0" w:type="dxa"/>
            <w:right w:w="11" w:type="dxa"/>
          </w:tblCellMar>
        </w:tblPrEx>
        <w:trPr>
          <w:trHeight w:val="1025"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组织监管企业上缴国有收益完成率</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完成率≥90%得满分，&lt;90%得零分</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国有资本经营预算覆盖率</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90%</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国有资本经营预算表</w:t>
            </w:r>
          </w:p>
        </w:tc>
      </w:tr>
      <w:tr>
        <w:tblPrEx>
          <w:tblCellMar>
            <w:top w:w="0" w:type="dxa"/>
            <w:left w:w="11" w:type="dxa"/>
            <w:bottom w:w="0" w:type="dxa"/>
            <w:right w:w="11" w:type="dxa"/>
          </w:tblCellMar>
        </w:tblPrEx>
        <w:trPr>
          <w:trHeight w:val="1521" w:hRule="atLeas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慰问离退休干部到位率</w:t>
            </w:r>
          </w:p>
        </w:tc>
        <w:tc>
          <w:tcPr>
            <w:tcW w:w="1256" w:type="dxa"/>
            <w:tcBorders>
              <w:top w:val="single" w:color="auto" w:sz="4" w:space="0"/>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到位率≥90%得满分，&lt;90%得零分</w:t>
            </w:r>
          </w:p>
        </w:tc>
        <w:tc>
          <w:tcPr>
            <w:tcW w:w="1256" w:type="dxa"/>
            <w:tcBorders>
              <w:top w:val="nil"/>
              <w:left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慰问离退休干部人数/国资委离退休干部人数</w:t>
            </w:r>
          </w:p>
        </w:tc>
        <w:tc>
          <w:tcPr>
            <w:tcW w:w="464" w:type="dxa"/>
            <w:tcBorders>
              <w:top w:val="nil"/>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90</w:t>
            </w:r>
          </w:p>
        </w:tc>
        <w:tc>
          <w:tcPr>
            <w:tcW w:w="495" w:type="dxa"/>
            <w:tcBorders>
              <w:top w:val="nil"/>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1796" w:type="dxa"/>
            <w:tcBorders>
              <w:top w:val="nil"/>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慰问名单</w:t>
            </w:r>
          </w:p>
        </w:tc>
      </w:tr>
      <w:tr>
        <w:tblPrEx>
          <w:tblCellMar>
            <w:top w:w="0" w:type="dxa"/>
            <w:left w:w="11" w:type="dxa"/>
            <w:bottom w:w="0" w:type="dxa"/>
            <w:right w:w="11" w:type="dxa"/>
          </w:tblCellMar>
        </w:tblPrEx>
        <w:trPr>
          <w:trHeight w:val="1466" w:hRule="atLeas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时效</w:t>
            </w:r>
          </w:p>
        </w:tc>
        <w:tc>
          <w:tcPr>
            <w:tcW w:w="85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国有资产数据统计分析月报上报时间</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每月按时上报满分，不报零分</w:t>
            </w:r>
          </w:p>
        </w:tc>
        <w:tc>
          <w:tcPr>
            <w:tcW w:w="12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国有资产数据统计分析月报上报时间</w:t>
            </w:r>
          </w:p>
        </w:tc>
        <w:tc>
          <w:tcPr>
            <w:tcW w:w="46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49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每月按时</w:t>
            </w:r>
          </w:p>
        </w:tc>
        <w:tc>
          <w:tcPr>
            <w:tcW w:w="49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报表时间</w:t>
            </w:r>
          </w:p>
        </w:tc>
      </w:tr>
      <w:tr>
        <w:tblPrEx>
          <w:tblCellMar>
            <w:top w:w="0" w:type="dxa"/>
            <w:left w:w="11" w:type="dxa"/>
            <w:bottom w:w="0" w:type="dxa"/>
            <w:right w:w="11" w:type="dxa"/>
          </w:tblCellMar>
        </w:tblPrEx>
        <w:trPr>
          <w:trHeight w:val="801"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85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考核企业领导人员完成时间</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 xml:space="preserve">2023年12月底前得满分。 </w:t>
            </w:r>
          </w:p>
        </w:tc>
        <w:tc>
          <w:tcPr>
            <w:tcW w:w="12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考核企业领导人员完成时间</w:t>
            </w:r>
          </w:p>
        </w:tc>
        <w:tc>
          <w:tcPr>
            <w:tcW w:w="46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49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2023年12月底前</w:t>
            </w:r>
          </w:p>
        </w:tc>
        <w:tc>
          <w:tcPr>
            <w:tcW w:w="49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考核表</w:t>
            </w:r>
          </w:p>
        </w:tc>
      </w:tr>
      <w:tr>
        <w:tblPrEx>
          <w:tblCellMar>
            <w:top w:w="0" w:type="dxa"/>
            <w:left w:w="11" w:type="dxa"/>
            <w:bottom w:w="0" w:type="dxa"/>
            <w:right w:w="11" w:type="dxa"/>
          </w:tblCellMar>
        </w:tblPrEx>
        <w:trPr>
          <w:trHeight w:val="1326"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85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拨付补贴及时率</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及时率=100%得满分，&lt;100%得零分</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考察国企职教幼教退休教师补贴发放时间</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100%</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拨款单</w:t>
            </w:r>
          </w:p>
        </w:tc>
      </w:tr>
      <w:tr>
        <w:tblPrEx>
          <w:tblCellMar>
            <w:top w:w="0" w:type="dxa"/>
            <w:left w:w="11" w:type="dxa"/>
            <w:bottom w:w="0" w:type="dxa"/>
            <w:right w:w="11" w:type="dxa"/>
          </w:tblCellMar>
        </w:tblPrEx>
        <w:trPr>
          <w:trHeight w:val="1144"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拨付公交场站项目资金时间</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2023年11月底前拨付得满分，以后得零分</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拨付公交场站项目资金时间</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2023年11月底前</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拨款单</w:t>
            </w:r>
          </w:p>
        </w:tc>
      </w:tr>
      <w:tr>
        <w:tblPrEx>
          <w:tblCellMar>
            <w:top w:w="0" w:type="dxa"/>
            <w:left w:w="11" w:type="dxa"/>
            <w:bottom w:w="0" w:type="dxa"/>
            <w:right w:w="11" w:type="dxa"/>
          </w:tblCellMar>
        </w:tblPrEx>
        <w:trPr>
          <w:trHeight w:val="1064"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组织监管企业上缴国有收益时间</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2023年12月底前完成得满分.</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国有企业上缴国有收益时间</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2023年12月底前</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预算表</w:t>
            </w:r>
          </w:p>
        </w:tc>
      </w:tr>
      <w:tr>
        <w:tblPrEx>
          <w:tblCellMar>
            <w:top w:w="0" w:type="dxa"/>
            <w:left w:w="11" w:type="dxa"/>
            <w:bottom w:w="0" w:type="dxa"/>
            <w:right w:w="11" w:type="dxa"/>
          </w:tblCellMar>
        </w:tblPrEx>
        <w:trPr>
          <w:trHeight w:val="1286" w:hRule="atLeas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慰问离退休干部时间</w:t>
            </w:r>
          </w:p>
        </w:tc>
        <w:tc>
          <w:tcPr>
            <w:tcW w:w="1256" w:type="dxa"/>
            <w:tcBorders>
              <w:top w:val="single" w:color="auto" w:sz="4" w:space="0"/>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2023年春节、重阳节慰问得满分，两节漏问得零分</w:t>
            </w:r>
          </w:p>
        </w:tc>
        <w:tc>
          <w:tcPr>
            <w:tcW w:w="1256" w:type="dxa"/>
            <w:tcBorders>
              <w:top w:val="nil"/>
              <w:left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慰问离退休干部时间</w:t>
            </w:r>
          </w:p>
        </w:tc>
        <w:tc>
          <w:tcPr>
            <w:tcW w:w="464" w:type="dxa"/>
            <w:tcBorders>
              <w:top w:val="nil"/>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497" w:type="dxa"/>
            <w:tcBorders>
              <w:top w:val="nil"/>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2023年春节、老人节。</w:t>
            </w:r>
          </w:p>
        </w:tc>
        <w:tc>
          <w:tcPr>
            <w:tcW w:w="495" w:type="dxa"/>
            <w:tcBorders>
              <w:top w:val="nil"/>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工作计划</w:t>
            </w:r>
          </w:p>
        </w:tc>
      </w:tr>
      <w:tr>
        <w:tblPrEx>
          <w:tblCellMar>
            <w:top w:w="0" w:type="dxa"/>
            <w:left w:w="11" w:type="dxa"/>
            <w:bottom w:w="0" w:type="dxa"/>
            <w:right w:w="11" w:type="dxa"/>
          </w:tblCellMar>
        </w:tblPrEx>
        <w:trPr>
          <w:trHeight w:val="1492"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成本</w:t>
            </w:r>
          </w:p>
        </w:tc>
        <w:tc>
          <w:tcPr>
            <w:tcW w:w="850"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国企职教幼教退休教师发放补贴2023年总成本</w:t>
            </w:r>
          </w:p>
        </w:tc>
        <w:tc>
          <w:tcPr>
            <w:tcW w:w="1256"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等于2180万元得满分，每减少218万扣权重分10%，扣完为止</w:t>
            </w:r>
          </w:p>
        </w:tc>
        <w:tc>
          <w:tcPr>
            <w:tcW w:w="12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　</w:t>
            </w:r>
            <w:r>
              <w:rPr>
                <w:rFonts w:hint="eastAsia" w:ascii="Times New Roman" w:hAnsi="Times New Roman" w:eastAsia="仿宋_GB2312" w:cs="Times New Roman"/>
                <w:color w:val="000000"/>
                <w:kern w:val="0"/>
                <w:sz w:val="18"/>
                <w:szCs w:val="18"/>
              </w:rPr>
              <w:t>国企职教幼教退休教师发放补贴2023年总成本</w:t>
            </w:r>
          </w:p>
        </w:tc>
        <w:tc>
          <w:tcPr>
            <w:tcW w:w="46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2180</w:t>
            </w:r>
            <w:r>
              <w:rPr>
                <w:rFonts w:ascii="Times New Roman" w:hAnsi="Times New Roman" w:eastAsia="仿宋_GB2312" w:cs="Times New Roman"/>
                <w:color w:val="000000"/>
                <w:kern w:val="0"/>
                <w:sz w:val="18"/>
                <w:szCs w:val="18"/>
              </w:rPr>
              <w:t xml:space="preserve"> </w:t>
            </w:r>
          </w:p>
        </w:tc>
        <w:tc>
          <w:tcPr>
            <w:tcW w:w="49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万元</w:t>
            </w:r>
          </w:p>
        </w:tc>
        <w:tc>
          <w:tcPr>
            <w:tcW w:w="179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《河北省国资委、教育厅、财政厅和人社厅关于妥善解决国有企业职教幼教退休教师待遇问题的通知》（冀国资[2011]10号）</w:t>
            </w:r>
          </w:p>
        </w:tc>
      </w:tr>
      <w:tr>
        <w:tblPrEx>
          <w:tblCellMar>
            <w:top w:w="0" w:type="dxa"/>
            <w:left w:w="11" w:type="dxa"/>
            <w:bottom w:w="0" w:type="dxa"/>
            <w:right w:w="11" w:type="dxa"/>
          </w:tblCellMar>
        </w:tblPrEx>
        <w:trPr>
          <w:trHeight w:val="1260" w:hRule="exact"/>
          <w:jc w:val="center"/>
        </w:trPr>
        <w:tc>
          <w:tcPr>
            <w:tcW w:w="866"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公交场站项目总成本</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总成本&gt;或&lt;700万元零分，=700万元满分。</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公交场站项目总成本</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700</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万元</w:t>
            </w: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根据预算文本</w:t>
            </w:r>
          </w:p>
        </w:tc>
      </w:tr>
      <w:tr>
        <w:tblPrEx>
          <w:tblCellMar>
            <w:top w:w="0" w:type="dxa"/>
            <w:left w:w="11" w:type="dxa"/>
            <w:bottom w:w="0" w:type="dxa"/>
            <w:right w:w="11" w:type="dxa"/>
          </w:tblCellMar>
        </w:tblPrEx>
        <w:trPr>
          <w:trHeight w:val="1424" w:hRule="exact"/>
          <w:jc w:val="center"/>
        </w:trPr>
        <w:tc>
          <w:tcPr>
            <w:tcW w:w="866" w:type="dxa"/>
            <w:tcBorders>
              <w:top w:val="nil"/>
              <w:left w:val="single" w:color="auto" w:sz="4" w:space="0"/>
              <w:bottom w:val="single" w:color="000000"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848"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850" w:type="dxa"/>
            <w:tcBorders>
              <w:top w:val="nil"/>
              <w:left w:val="nil"/>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老干部人均慰问标准</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退休人员高于0.05万元    离休人员高于0.06万元得零分，反之得满分</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老干部人均慰问标准</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退休0.05    离休0.06</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万元</w:t>
            </w: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慰问工作方案</w:t>
            </w:r>
          </w:p>
        </w:tc>
      </w:tr>
      <w:tr>
        <w:tblPrEx>
          <w:tblCellMar>
            <w:top w:w="0" w:type="dxa"/>
            <w:left w:w="11" w:type="dxa"/>
            <w:bottom w:w="0" w:type="dxa"/>
            <w:right w:w="11" w:type="dxa"/>
          </w:tblCellMar>
        </w:tblPrEx>
        <w:trPr>
          <w:trHeight w:val="1392" w:hRule="exact"/>
          <w:jc w:val="center"/>
        </w:trPr>
        <w:tc>
          <w:tcPr>
            <w:tcW w:w="866" w:type="dxa"/>
            <w:vMerge w:val="restart"/>
            <w:tcBorders>
              <w:top w:val="nil"/>
              <w:left w:val="single" w:color="auto" w:sz="4" w:space="0"/>
              <w:bottom w:val="single" w:color="000000"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部门效果</w:t>
            </w:r>
          </w:p>
        </w:tc>
        <w:tc>
          <w:tcPr>
            <w:tcW w:w="848"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经济效益</w:t>
            </w:r>
          </w:p>
        </w:tc>
        <w:tc>
          <w:tcPr>
            <w:tcW w:w="850" w:type="dxa"/>
            <w:tcBorders>
              <w:top w:val="nil"/>
              <w:left w:val="nil"/>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提供国有企业经济运行数据</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能够提供数据得满分</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每年向省国资委、市人大、市统计局报送廊坊市国有企业年度决算报表</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提供数据</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监管企业决算汇总报表</w:t>
            </w:r>
          </w:p>
        </w:tc>
      </w:tr>
      <w:tr>
        <w:tblPrEx>
          <w:tblCellMar>
            <w:top w:w="0" w:type="dxa"/>
            <w:left w:w="11" w:type="dxa"/>
            <w:bottom w:w="0" w:type="dxa"/>
            <w:right w:w="11" w:type="dxa"/>
          </w:tblCellMar>
        </w:tblPrEx>
        <w:trPr>
          <w:trHeight w:val="1308" w:hRule="exact"/>
          <w:jc w:val="center"/>
        </w:trPr>
        <w:tc>
          <w:tcPr>
            <w:tcW w:w="866"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国有资本收益上缴率</w:t>
            </w:r>
            <w:r>
              <w:rPr>
                <w:rFonts w:hint="eastAsia" w:ascii="Times New Roman" w:hAnsi="Times New Roman" w:eastAsia="仿宋_GB2312" w:cs="Times New Roman"/>
                <w:color w:val="000000"/>
                <w:kern w:val="0"/>
                <w:sz w:val="18"/>
                <w:szCs w:val="18"/>
              </w:rPr>
              <w:tab/>
            </w:r>
            <w:r>
              <w:rPr>
                <w:rFonts w:hint="eastAsia" w:ascii="Times New Roman" w:hAnsi="Times New Roman" w:eastAsia="仿宋_GB2312" w:cs="Times New Roman"/>
                <w:color w:val="000000"/>
                <w:kern w:val="0"/>
                <w:sz w:val="18"/>
                <w:szCs w:val="18"/>
              </w:rPr>
              <w:tab/>
            </w:r>
            <w:r>
              <w:rPr>
                <w:rFonts w:hint="eastAsia" w:ascii="Times New Roman" w:hAnsi="Times New Roman" w:eastAsia="仿宋_GB2312" w:cs="Times New Roman"/>
                <w:color w:val="000000"/>
                <w:kern w:val="0"/>
                <w:sz w:val="18"/>
                <w:szCs w:val="18"/>
              </w:rPr>
              <w:tab/>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上缴率=100%得满分，&lt;100%得零分</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国有资本收益上缴率</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100%</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2022年监管企业年度审计报告</w:t>
            </w:r>
          </w:p>
        </w:tc>
      </w:tr>
      <w:tr>
        <w:tblPrEx>
          <w:tblCellMar>
            <w:top w:w="0" w:type="dxa"/>
            <w:left w:w="11" w:type="dxa"/>
            <w:bottom w:w="0" w:type="dxa"/>
            <w:right w:w="11" w:type="dxa"/>
          </w:tblCellMar>
        </w:tblPrEx>
        <w:trPr>
          <w:trHeight w:val="1122" w:hRule="exact"/>
          <w:jc w:val="center"/>
        </w:trPr>
        <w:tc>
          <w:tcPr>
            <w:tcW w:w="866"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cs="Times New Roman"/>
                <w:color w:val="000000"/>
                <w:sz w:val="18"/>
                <w:szCs w:val="18"/>
              </w:rPr>
            </w:pPr>
          </w:p>
        </w:tc>
        <w:tc>
          <w:tcPr>
            <w:tcW w:w="848"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社会效益</w:t>
            </w:r>
          </w:p>
        </w:tc>
        <w:tc>
          <w:tcPr>
            <w:tcW w:w="850" w:type="dxa"/>
            <w:tcBorders>
              <w:top w:val="nil"/>
              <w:left w:val="nil"/>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信访案件合理诉求办结率</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办结率≥90%得满分，&lt;90%得零分</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信访案件合理诉求办结率</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90%</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信访部门办案率/上访案件</w:t>
            </w:r>
          </w:p>
        </w:tc>
      </w:tr>
      <w:tr>
        <w:tblPrEx>
          <w:tblCellMar>
            <w:top w:w="0" w:type="dxa"/>
            <w:left w:w="11" w:type="dxa"/>
            <w:bottom w:w="0" w:type="dxa"/>
            <w:right w:w="11" w:type="dxa"/>
          </w:tblCellMar>
        </w:tblPrEx>
        <w:trPr>
          <w:trHeight w:val="1404" w:hRule="exact"/>
          <w:jc w:val="center"/>
        </w:trPr>
        <w:tc>
          <w:tcPr>
            <w:tcW w:w="866"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cs="Times New Roman"/>
                <w:color w:val="000000"/>
                <w:sz w:val="18"/>
                <w:szCs w:val="18"/>
              </w:rPr>
            </w:pPr>
          </w:p>
        </w:tc>
        <w:tc>
          <w:tcPr>
            <w:tcW w:w="848" w:type="dxa"/>
            <w:vMerge w:val="continue"/>
            <w:tcBorders>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850" w:type="dxa"/>
            <w:tcBorders>
              <w:top w:val="nil"/>
              <w:left w:val="nil"/>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发生重大安全生产死亡事故率</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事故率=0得满分，每发生一起减权重分50%。</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监管企业发生重大安全生产死亡事故率</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0%</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按照实际发生数</w:t>
            </w:r>
          </w:p>
        </w:tc>
      </w:tr>
      <w:tr>
        <w:tblPrEx>
          <w:tblCellMar>
            <w:top w:w="0" w:type="dxa"/>
            <w:left w:w="11" w:type="dxa"/>
            <w:bottom w:w="0" w:type="dxa"/>
            <w:right w:w="11" w:type="dxa"/>
          </w:tblCellMar>
        </w:tblPrEx>
        <w:trPr>
          <w:trHeight w:val="1148" w:hRule="exact"/>
          <w:jc w:val="center"/>
        </w:trPr>
        <w:tc>
          <w:tcPr>
            <w:tcW w:w="866"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cs="Times New Roman"/>
                <w:color w:val="000000"/>
                <w:sz w:val="18"/>
                <w:szCs w:val="18"/>
              </w:rPr>
            </w:pPr>
          </w:p>
        </w:tc>
        <w:tc>
          <w:tcPr>
            <w:tcW w:w="848"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满意度</w:t>
            </w:r>
          </w:p>
        </w:tc>
        <w:tc>
          <w:tcPr>
            <w:tcW w:w="850"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监管企业工作满意度</w:t>
            </w:r>
          </w:p>
        </w:tc>
        <w:tc>
          <w:tcPr>
            <w:tcW w:w="12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满意度≥90%得满分，&lt;90%得零分</w:t>
            </w:r>
          </w:p>
        </w:tc>
        <w:tc>
          <w:tcPr>
            <w:tcW w:w="1256" w:type="dxa"/>
            <w:tcBorders>
              <w:top w:val="nil"/>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　</w:t>
            </w:r>
            <w:r>
              <w:rPr>
                <w:rFonts w:hint="eastAsia" w:ascii="Times New Roman" w:hAnsi="Times New Roman" w:eastAsia="仿宋_GB2312" w:cs="Times New Roman"/>
                <w:color w:val="000000"/>
                <w:kern w:val="0"/>
                <w:sz w:val="18"/>
                <w:szCs w:val="18"/>
              </w:rPr>
              <w:t>监管企业工作满意度</w:t>
            </w:r>
          </w:p>
        </w:tc>
        <w:tc>
          <w:tcPr>
            <w:tcW w:w="464"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497"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90%</w:t>
            </w:r>
          </w:p>
        </w:tc>
        <w:tc>
          <w:tcPr>
            <w:tcW w:w="495"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p>
        </w:tc>
        <w:tc>
          <w:tcPr>
            <w:tcW w:w="1796"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监管企业问卷调查</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pPr>
      <w:r>
        <w:rPr>
          <w:rFonts w:ascii="方正仿宋_GBK" w:hAnsi="方正仿宋_GBK" w:eastAsia="方正仿宋_GBK" w:cs="方正仿宋_GBK"/>
          <w:b/>
          <w:color w:val="000000"/>
          <w:sz w:val="28"/>
        </w:rPr>
        <w:t>1、国资监管运行经费绩效目标表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1.目标内容1通过完成此项目，能够满足国资委机关日常运转，达到效率最大化的目标。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项目服务房屋面积</w:t>
            </w:r>
          </w:p>
        </w:tc>
        <w:tc>
          <w:tcPr>
            <w:tcW w:w="2835" w:type="dxa"/>
            <w:vAlign w:val="center"/>
          </w:tcPr>
          <w:p>
            <w:pPr>
              <w:pStyle w:val="17"/>
            </w:pPr>
            <w:r>
              <w:t>项目服务房屋面积</w:t>
            </w:r>
          </w:p>
        </w:tc>
        <w:tc>
          <w:tcPr>
            <w:tcW w:w="2551" w:type="dxa"/>
            <w:vAlign w:val="center"/>
          </w:tcPr>
          <w:p>
            <w:pPr>
              <w:pStyle w:val="17"/>
            </w:pPr>
            <w:r>
              <w:t>≥6916.89平方米</w:t>
            </w:r>
          </w:p>
        </w:tc>
        <w:tc>
          <w:tcPr>
            <w:tcW w:w="2268" w:type="dxa"/>
            <w:vAlign w:val="center"/>
          </w:tcPr>
          <w:p>
            <w:pPr>
              <w:pStyle w:val="17"/>
            </w:pPr>
            <w:r>
              <w:t>根据物业合同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物业服务验收率</w:t>
            </w:r>
          </w:p>
        </w:tc>
        <w:tc>
          <w:tcPr>
            <w:tcW w:w="2835" w:type="dxa"/>
            <w:vAlign w:val="center"/>
          </w:tcPr>
          <w:p>
            <w:pPr>
              <w:pStyle w:val="17"/>
            </w:pPr>
            <w:r>
              <w:t>物业服务验收率</w:t>
            </w:r>
          </w:p>
        </w:tc>
        <w:tc>
          <w:tcPr>
            <w:tcW w:w="2551" w:type="dxa"/>
            <w:vAlign w:val="center"/>
          </w:tcPr>
          <w:p>
            <w:pPr>
              <w:pStyle w:val="17"/>
            </w:pPr>
            <w:r>
              <w:t>100%</w:t>
            </w:r>
          </w:p>
        </w:tc>
        <w:tc>
          <w:tcPr>
            <w:tcW w:w="2268" w:type="dxa"/>
            <w:vAlign w:val="center"/>
          </w:tcPr>
          <w:p>
            <w:pPr>
              <w:pStyle w:val="17"/>
            </w:pPr>
            <w:r>
              <w:t>根据物业合同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拨款及时率</w:t>
            </w:r>
          </w:p>
        </w:tc>
        <w:tc>
          <w:tcPr>
            <w:tcW w:w="2835" w:type="dxa"/>
            <w:vAlign w:val="center"/>
          </w:tcPr>
          <w:p>
            <w:pPr>
              <w:pStyle w:val="17"/>
            </w:pPr>
            <w:r>
              <w:t>拨款及时率</w:t>
            </w:r>
          </w:p>
        </w:tc>
        <w:tc>
          <w:tcPr>
            <w:tcW w:w="2551" w:type="dxa"/>
            <w:vAlign w:val="center"/>
          </w:tcPr>
          <w:p>
            <w:pPr>
              <w:pStyle w:val="17"/>
            </w:pPr>
            <w:r>
              <w:t>100%</w:t>
            </w:r>
          </w:p>
        </w:tc>
        <w:tc>
          <w:tcPr>
            <w:tcW w:w="2268" w:type="dxa"/>
            <w:vAlign w:val="center"/>
          </w:tcPr>
          <w:p>
            <w:pPr>
              <w:pStyle w:val="17"/>
            </w:pPr>
            <w:r>
              <w:t>根据实际完成情况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此项目总成本</w:t>
            </w:r>
          </w:p>
        </w:tc>
        <w:tc>
          <w:tcPr>
            <w:tcW w:w="2835" w:type="dxa"/>
            <w:vAlign w:val="center"/>
          </w:tcPr>
          <w:p>
            <w:pPr>
              <w:pStyle w:val="17"/>
            </w:pPr>
            <w:r>
              <w:t>此项目总成本</w:t>
            </w:r>
          </w:p>
        </w:tc>
        <w:tc>
          <w:tcPr>
            <w:tcW w:w="2551" w:type="dxa"/>
            <w:vAlign w:val="center"/>
          </w:tcPr>
          <w:p>
            <w:pPr>
              <w:pStyle w:val="17"/>
            </w:pPr>
            <w:r>
              <w:t>80万元</w:t>
            </w:r>
          </w:p>
        </w:tc>
        <w:tc>
          <w:tcPr>
            <w:tcW w:w="2268" w:type="dxa"/>
            <w:vAlign w:val="center"/>
          </w:tcPr>
          <w:p>
            <w:pPr>
              <w:pStyle w:val="17"/>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老干部慰问人数</w:t>
            </w:r>
          </w:p>
        </w:tc>
        <w:tc>
          <w:tcPr>
            <w:tcW w:w="2835" w:type="dxa"/>
            <w:vAlign w:val="center"/>
          </w:tcPr>
          <w:p>
            <w:pPr>
              <w:pStyle w:val="17"/>
            </w:pPr>
            <w:r>
              <w:t>老干部慰问人数</w:t>
            </w:r>
          </w:p>
        </w:tc>
        <w:tc>
          <w:tcPr>
            <w:tcW w:w="2551" w:type="dxa"/>
            <w:vAlign w:val="center"/>
          </w:tcPr>
          <w:p>
            <w:pPr>
              <w:pStyle w:val="17"/>
            </w:pPr>
            <w:r>
              <w:t>159人</w:t>
            </w:r>
          </w:p>
        </w:tc>
        <w:tc>
          <w:tcPr>
            <w:tcW w:w="2268" w:type="dxa"/>
            <w:vAlign w:val="center"/>
          </w:tcPr>
          <w:p>
            <w:pPr>
              <w:pStyle w:val="17"/>
            </w:pPr>
            <w:r>
              <w:t>慰问花名册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慰问完成率</w:t>
            </w:r>
          </w:p>
        </w:tc>
        <w:tc>
          <w:tcPr>
            <w:tcW w:w="2835" w:type="dxa"/>
            <w:vAlign w:val="center"/>
          </w:tcPr>
          <w:p>
            <w:pPr>
              <w:pStyle w:val="17"/>
            </w:pPr>
            <w:r>
              <w:t>慰问完成率</w:t>
            </w:r>
          </w:p>
        </w:tc>
        <w:tc>
          <w:tcPr>
            <w:tcW w:w="2551" w:type="dxa"/>
            <w:vAlign w:val="center"/>
          </w:tcPr>
          <w:p>
            <w:pPr>
              <w:pStyle w:val="17"/>
            </w:pPr>
            <w:r>
              <w:t>100%</w:t>
            </w:r>
          </w:p>
        </w:tc>
        <w:tc>
          <w:tcPr>
            <w:tcW w:w="2268" w:type="dxa"/>
            <w:vAlign w:val="center"/>
          </w:tcPr>
          <w:p>
            <w:pPr>
              <w:pStyle w:val="17"/>
            </w:pPr>
            <w:r>
              <w:t>慰问花名册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两节每人平均慰问标准</w:t>
            </w:r>
          </w:p>
        </w:tc>
        <w:tc>
          <w:tcPr>
            <w:tcW w:w="2835" w:type="dxa"/>
            <w:vAlign w:val="center"/>
          </w:tcPr>
          <w:p>
            <w:pPr>
              <w:pStyle w:val="17"/>
            </w:pPr>
            <w:r>
              <w:t>两节每人平均慰问标准</w:t>
            </w:r>
          </w:p>
        </w:tc>
        <w:tc>
          <w:tcPr>
            <w:tcW w:w="2551" w:type="dxa"/>
            <w:vAlign w:val="center"/>
          </w:tcPr>
          <w:p>
            <w:pPr>
              <w:pStyle w:val="17"/>
            </w:pPr>
            <w:r>
              <w:t>退休500元、离休600元</w:t>
            </w:r>
          </w:p>
        </w:tc>
        <w:tc>
          <w:tcPr>
            <w:tcW w:w="2268" w:type="dxa"/>
            <w:vAlign w:val="center"/>
          </w:tcPr>
          <w:p>
            <w:pPr>
              <w:pStyle w:val="17"/>
            </w:pPr>
            <w:r>
              <w:t>慰问方案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满足国资委机关日常运转</w:t>
            </w:r>
          </w:p>
        </w:tc>
        <w:tc>
          <w:tcPr>
            <w:tcW w:w="2835" w:type="dxa"/>
            <w:vAlign w:val="center"/>
          </w:tcPr>
          <w:p>
            <w:pPr>
              <w:pStyle w:val="17"/>
            </w:pPr>
            <w:r>
              <w:t>满足国资委机关日常运转</w:t>
            </w:r>
          </w:p>
        </w:tc>
        <w:tc>
          <w:tcPr>
            <w:tcW w:w="2551" w:type="dxa"/>
            <w:vAlign w:val="center"/>
          </w:tcPr>
          <w:p>
            <w:pPr>
              <w:pStyle w:val="17"/>
            </w:pPr>
            <w:r>
              <w:t>提高</w:t>
            </w:r>
          </w:p>
        </w:tc>
        <w:tc>
          <w:tcPr>
            <w:tcW w:w="2268" w:type="dxa"/>
            <w:vAlign w:val="center"/>
          </w:tcPr>
          <w:p>
            <w:pPr>
              <w:pStyle w:val="17"/>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用户满意度</w:t>
            </w:r>
          </w:p>
        </w:tc>
        <w:tc>
          <w:tcPr>
            <w:tcW w:w="2835" w:type="dxa"/>
            <w:vAlign w:val="center"/>
          </w:tcPr>
          <w:p>
            <w:pPr>
              <w:pStyle w:val="17"/>
            </w:pPr>
            <w:r>
              <w:t>单位职工满意度</w:t>
            </w:r>
          </w:p>
        </w:tc>
        <w:tc>
          <w:tcPr>
            <w:tcW w:w="2551" w:type="dxa"/>
            <w:vAlign w:val="center"/>
          </w:tcPr>
          <w:p>
            <w:pPr>
              <w:pStyle w:val="17"/>
            </w:pPr>
            <w:r>
              <w:t>≥95%</w:t>
            </w:r>
          </w:p>
        </w:tc>
        <w:tc>
          <w:tcPr>
            <w:tcW w:w="2268" w:type="dxa"/>
            <w:vAlign w:val="center"/>
          </w:tcPr>
          <w:p>
            <w:pPr>
              <w:pStyle w:val="17"/>
            </w:pPr>
            <w:r>
              <w:t>口头调查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2、国企干部管理培训工作经费绩效目标表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1.通过增强自身实力，充分发挥培训职能，按时完成培训任务，达到国有企业管理人员培训中心持续开展培训业务，稳步发展的目标。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保证国有企业及机关相关培训业务</w:t>
            </w:r>
          </w:p>
        </w:tc>
        <w:tc>
          <w:tcPr>
            <w:tcW w:w="2835" w:type="dxa"/>
            <w:vAlign w:val="center"/>
          </w:tcPr>
          <w:p>
            <w:pPr>
              <w:pStyle w:val="17"/>
            </w:pPr>
            <w:r>
              <w:t>每年至少保证2次以上相关业务培训</w:t>
            </w:r>
          </w:p>
        </w:tc>
        <w:tc>
          <w:tcPr>
            <w:tcW w:w="2551" w:type="dxa"/>
            <w:vAlign w:val="center"/>
          </w:tcPr>
          <w:p>
            <w:pPr>
              <w:pStyle w:val="17"/>
            </w:pPr>
            <w:r>
              <w:t>≥2次</w:t>
            </w:r>
          </w:p>
        </w:tc>
        <w:tc>
          <w:tcPr>
            <w:tcW w:w="2268" w:type="dxa"/>
            <w:vAlign w:val="center"/>
          </w:tcPr>
          <w:p>
            <w:pPr>
              <w:pStyle w:val="17"/>
            </w:pPr>
            <w:r>
              <w:t>依据廊坊市国有企业管理人员培训中心接受培训次数确定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培训人员合格率</w:t>
            </w:r>
          </w:p>
        </w:tc>
        <w:tc>
          <w:tcPr>
            <w:tcW w:w="2835" w:type="dxa"/>
            <w:vAlign w:val="center"/>
          </w:tcPr>
          <w:p>
            <w:pPr>
              <w:pStyle w:val="17"/>
            </w:pPr>
            <w:r>
              <w:t>反映培训人员学习质量情况</w:t>
            </w:r>
          </w:p>
        </w:tc>
        <w:tc>
          <w:tcPr>
            <w:tcW w:w="2551" w:type="dxa"/>
            <w:vAlign w:val="center"/>
          </w:tcPr>
          <w:p>
            <w:pPr>
              <w:pStyle w:val="17"/>
            </w:pPr>
            <w:r>
              <w:t>≥95%</w:t>
            </w:r>
          </w:p>
        </w:tc>
        <w:tc>
          <w:tcPr>
            <w:tcW w:w="2268" w:type="dxa"/>
            <w:vAlign w:val="center"/>
          </w:tcPr>
          <w:p>
            <w:pPr>
              <w:pStyle w:val="17"/>
            </w:pPr>
            <w:r>
              <w:t>根据国有企业管理人员培训中心开展的培训业务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支付及时性</w:t>
            </w:r>
          </w:p>
        </w:tc>
        <w:tc>
          <w:tcPr>
            <w:tcW w:w="2835" w:type="dxa"/>
            <w:vAlign w:val="center"/>
          </w:tcPr>
          <w:p>
            <w:pPr>
              <w:pStyle w:val="17"/>
            </w:pPr>
            <w:r>
              <w:t>按照国有企业管理人员培训中心业务开展期间费用支出情况及时支付</w:t>
            </w:r>
          </w:p>
        </w:tc>
        <w:tc>
          <w:tcPr>
            <w:tcW w:w="2551" w:type="dxa"/>
            <w:vAlign w:val="center"/>
          </w:tcPr>
          <w:p>
            <w:pPr>
              <w:pStyle w:val="17"/>
            </w:pPr>
            <w:r>
              <w:t>100%</w:t>
            </w:r>
          </w:p>
        </w:tc>
        <w:tc>
          <w:tcPr>
            <w:tcW w:w="2268" w:type="dxa"/>
            <w:vAlign w:val="center"/>
          </w:tcPr>
          <w:p>
            <w:pPr>
              <w:pStyle w:val="17"/>
            </w:pPr>
            <w:r>
              <w:t>根据国有企业管理人员培训中心开展的培训业务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成本吻合度</w:t>
            </w:r>
          </w:p>
        </w:tc>
        <w:tc>
          <w:tcPr>
            <w:tcW w:w="2835" w:type="dxa"/>
            <w:vAlign w:val="center"/>
          </w:tcPr>
          <w:p>
            <w:pPr>
              <w:pStyle w:val="17"/>
            </w:pPr>
            <w:r>
              <w:t>反映培训期间费用成本的支出数与预算数一致</w:t>
            </w:r>
          </w:p>
        </w:tc>
        <w:tc>
          <w:tcPr>
            <w:tcW w:w="2551" w:type="dxa"/>
            <w:vAlign w:val="center"/>
          </w:tcPr>
          <w:p>
            <w:pPr>
              <w:pStyle w:val="17"/>
            </w:pPr>
            <w:r>
              <w:t>170万元</w:t>
            </w:r>
          </w:p>
        </w:tc>
        <w:tc>
          <w:tcPr>
            <w:tcW w:w="2268" w:type="dxa"/>
            <w:vAlign w:val="center"/>
          </w:tcPr>
          <w:p>
            <w:pPr>
              <w:pStyle w:val="17"/>
            </w:pPr>
            <w:r>
              <w:t>根据预算数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保证培训业务的持续开展</w:t>
            </w:r>
          </w:p>
        </w:tc>
        <w:tc>
          <w:tcPr>
            <w:tcW w:w="2835" w:type="dxa"/>
            <w:vAlign w:val="center"/>
          </w:tcPr>
          <w:p>
            <w:pPr>
              <w:pStyle w:val="17"/>
            </w:pPr>
            <w:r>
              <w:t>保证培训中心业务每年顺利举行并持续开展</w:t>
            </w:r>
          </w:p>
        </w:tc>
        <w:tc>
          <w:tcPr>
            <w:tcW w:w="2551" w:type="dxa"/>
            <w:vAlign w:val="center"/>
          </w:tcPr>
          <w:p>
            <w:pPr>
              <w:pStyle w:val="17"/>
            </w:pPr>
            <w:r>
              <w:t>≥2次</w:t>
            </w:r>
          </w:p>
        </w:tc>
        <w:tc>
          <w:tcPr>
            <w:tcW w:w="2268" w:type="dxa"/>
            <w:vAlign w:val="center"/>
          </w:tcPr>
          <w:p>
            <w:pPr>
              <w:pStyle w:val="17"/>
            </w:pPr>
            <w:r>
              <w:t>根据经营范围及职能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接受国有企业管理人员培训中心的培训人员的满意程度</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3、国企职教幼教退休教师专项补贴资金绩效目标表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1.目标内容1通过项目的开展，按照国家、省有关政策要求，落实国有企业职教幼教退休教师待遇，维护国企职教幼教退休教师权益和社会和谐稳定。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国企职教幼教退休教师发放补贴人数</w:t>
            </w:r>
          </w:p>
        </w:tc>
        <w:tc>
          <w:tcPr>
            <w:tcW w:w="2835" w:type="dxa"/>
            <w:vAlign w:val="center"/>
          </w:tcPr>
          <w:p>
            <w:pPr>
              <w:pStyle w:val="17"/>
            </w:pPr>
            <w:r>
              <w:t>考察国企职教幼教退休教师发放补贴人数情况</w:t>
            </w:r>
          </w:p>
        </w:tc>
        <w:tc>
          <w:tcPr>
            <w:tcW w:w="2551" w:type="dxa"/>
            <w:vAlign w:val="center"/>
          </w:tcPr>
          <w:p>
            <w:pPr>
              <w:pStyle w:val="17"/>
            </w:pPr>
            <w:r>
              <w:t>538名</w:t>
            </w:r>
          </w:p>
        </w:tc>
        <w:tc>
          <w:tcPr>
            <w:tcW w:w="2268" w:type="dxa"/>
            <w:vAlign w:val="center"/>
          </w:tcPr>
          <w:p>
            <w:pPr>
              <w:pStyle w:val="17"/>
            </w:pPr>
            <w:r>
              <w:t>教育局、人社局国有企业职教幼教资格认定人员名单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应补尽补率</w:t>
            </w:r>
          </w:p>
        </w:tc>
        <w:tc>
          <w:tcPr>
            <w:tcW w:w="2835" w:type="dxa"/>
            <w:vAlign w:val="center"/>
          </w:tcPr>
          <w:p>
            <w:pPr>
              <w:pStyle w:val="17"/>
            </w:pPr>
            <w:r>
              <w:t>考察国企职教幼教退休教师补贴发放情况</w:t>
            </w:r>
          </w:p>
        </w:tc>
        <w:tc>
          <w:tcPr>
            <w:tcW w:w="2551" w:type="dxa"/>
            <w:vAlign w:val="center"/>
          </w:tcPr>
          <w:p>
            <w:pPr>
              <w:pStyle w:val="17"/>
            </w:pPr>
            <w:r>
              <w:t>100%</w:t>
            </w:r>
          </w:p>
        </w:tc>
        <w:tc>
          <w:tcPr>
            <w:tcW w:w="2268" w:type="dxa"/>
            <w:vAlign w:val="center"/>
          </w:tcPr>
          <w:p>
            <w:pPr>
              <w:pStyle w:val="17"/>
            </w:pPr>
            <w:r>
              <w:t>国有企业职教幼教退休教师补贴审批表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发放补助及时率</w:t>
            </w:r>
          </w:p>
        </w:tc>
        <w:tc>
          <w:tcPr>
            <w:tcW w:w="2835" w:type="dxa"/>
            <w:vAlign w:val="center"/>
          </w:tcPr>
          <w:p>
            <w:pPr>
              <w:pStyle w:val="17"/>
            </w:pPr>
            <w:r>
              <w:t>考察国企职教幼教退休教师补贴发放时间</w:t>
            </w:r>
          </w:p>
        </w:tc>
        <w:tc>
          <w:tcPr>
            <w:tcW w:w="2551" w:type="dxa"/>
            <w:vAlign w:val="center"/>
          </w:tcPr>
          <w:p>
            <w:pPr>
              <w:pStyle w:val="17"/>
            </w:pPr>
            <w:r>
              <w:t>100%</w:t>
            </w:r>
          </w:p>
        </w:tc>
        <w:tc>
          <w:tcPr>
            <w:tcW w:w="2268" w:type="dxa"/>
            <w:vAlign w:val="center"/>
          </w:tcPr>
          <w:p>
            <w:pPr>
              <w:pStyle w:val="17"/>
            </w:pPr>
            <w:r>
              <w:t>《河北省国资委、教育厅、财政厅和人社厅关于妥善解决国有企业职教幼教退休教师待遇问题的通知》（冀国资[2011]10号）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人均补贴标准</w:t>
            </w:r>
          </w:p>
        </w:tc>
        <w:tc>
          <w:tcPr>
            <w:tcW w:w="2835" w:type="dxa"/>
            <w:vAlign w:val="center"/>
          </w:tcPr>
          <w:p>
            <w:pPr>
              <w:pStyle w:val="17"/>
            </w:pPr>
            <w:r>
              <w:t>考察与人社部门核定的当地同类人员退休金比照标准差异值</w:t>
            </w:r>
          </w:p>
        </w:tc>
        <w:tc>
          <w:tcPr>
            <w:tcW w:w="2551" w:type="dxa"/>
            <w:vAlign w:val="center"/>
          </w:tcPr>
          <w:p>
            <w:pPr>
              <w:pStyle w:val="17"/>
            </w:pPr>
            <w:r>
              <w:t>0%</w:t>
            </w:r>
          </w:p>
        </w:tc>
        <w:tc>
          <w:tcPr>
            <w:tcW w:w="2268" w:type="dxa"/>
            <w:vAlign w:val="center"/>
          </w:tcPr>
          <w:p>
            <w:pPr>
              <w:pStyle w:val="17"/>
            </w:pPr>
            <w:r>
              <w:t>《河北省国资委、教育厅、财政厅和人社厅关于妥善解决国有企业职教幼教退休教师待遇问题的通知》（冀国资[2011]10号）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档案管理机制健全性</w:t>
            </w:r>
          </w:p>
        </w:tc>
        <w:tc>
          <w:tcPr>
            <w:tcW w:w="2835" w:type="dxa"/>
            <w:vAlign w:val="center"/>
          </w:tcPr>
          <w:p>
            <w:pPr>
              <w:pStyle w:val="17"/>
            </w:pPr>
            <w:r>
              <w:t>考察国企职教幼教退休教师专项补贴资金相关档案管理制度及档案文件归档情况</w:t>
            </w:r>
          </w:p>
        </w:tc>
        <w:tc>
          <w:tcPr>
            <w:tcW w:w="2551" w:type="dxa"/>
            <w:vAlign w:val="center"/>
          </w:tcPr>
          <w:p>
            <w:pPr>
              <w:pStyle w:val="17"/>
            </w:pPr>
            <w:r>
              <w:t>健全</w:t>
            </w:r>
          </w:p>
        </w:tc>
        <w:tc>
          <w:tcPr>
            <w:tcW w:w="2268" w:type="dxa"/>
            <w:vAlign w:val="center"/>
          </w:tcPr>
          <w:p>
            <w:pPr>
              <w:pStyle w:val="17"/>
            </w:pPr>
            <w:r>
              <w:t>档案管理制度、相关档案文件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服务对象满意度指标</w:t>
            </w:r>
          </w:p>
        </w:tc>
        <w:tc>
          <w:tcPr>
            <w:tcW w:w="2835" w:type="dxa"/>
            <w:vAlign w:val="center"/>
          </w:tcPr>
          <w:p>
            <w:pPr>
              <w:pStyle w:val="17"/>
            </w:pPr>
            <w:r>
              <w:t>接受补贴资金国企职教幼教退休教师满意度</w:t>
            </w:r>
          </w:p>
        </w:tc>
        <w:tc>
          <w:tcPr>
            <w:tcW w:w="2551" w:type="dxa"/>
            <w:vAlign w:val="center"/>
          </w:tcPr>
          <w:p>
            <w:pPr>
              <w:pStyle w:val="17"/>
            </w:pPr>
            <w:r>
              <w:t>≥90%</w:t>
            </w:r>
          </w:p>
        </w:tc>
        <w:tc>
          <w:tcPr>
            <w:tcW w:w="2268" w:type="dxa"/>
            <w:vAlign w:val="center"/>
          </w:tcPr>
          <w:p>
            <w:pPr>
              <w:pStyle w:val="17"/>
            </w:pPr>
            <w:r>
              <w:t>结合有责投诉情况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4、廊坊高新技术产业开发区公交场站项目资金绩效目标表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满足城南居民出行需求，达到低碳环保、节能减排的环保要求，扩大公交网线辐射区域，全力推进安次区公交全覆盖工作，进一步保障廊坊城乡公交一体化建设工作的实现，为实现廊坊市2020年政府工作报告中提出的“用市场化手段改善公交运营情况，实现公交全覆盖”的要求奠定基础。</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项目占地面积</w:t>
            </w:r>
          </w:p>
        </w:tc>
        <w:tc>
          <w:tcPr>
            <w:tcW w:w="2835" w:type="dxa"/>
            <w:vAlign w:val="center"/>
          </w:tcPr>
          <w:p>
            <w:pPr>
              <w:pStyle w:val="17"/>
            </w:pPr>
            <w:r>
              <w:t>项目总用地面积</w:t>
            </w:r>
          </w:p>
        </w:tc>
        <w:tc>
          <w:tcPr>
            <w:tcW w:w="2551" w:type="dxa"/>
            <w:vAlign w:val="center"/>
          </w:tcPr>
          <w:p>
            <w:pPr>
              <w:pStyle w:val="17"/>
            </w:pPr>
            <w:r>
              <w:t>20000平方米</w:t>
            </w:r>
          </w:p>
        </w:tc>
        <w:tc>
          <w:tcPr>
            <w:tcW w:w="2268" w:type="dxa"/>
            <w:vAlign w:val="center"/>
          </w:tcPr>
          <w:p>
            <w:pPr>
              <w:pStyle w:val="17"/>
            </w:pPr>
            <w:r>
              <w:t>廊交[2020]362号文件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项目施工验收通过率</w:t>
            </w:r>
          </w:p>
        </w:tc>
        <w:tc>
          <w:tcPr>
            <w:tcW w:w="2835" w:type="dxa"/>
            <w:vAlign w:val="center"/>
          </w:tcPr>
          <w:p>
            <w:pPr>
              <w:pStyle w:val="17"/>
            </w:pPr>
            <w:r>
              <w:t>公交场站验线合格情况</w:t>
            </w:r>
          </w:p>
        </w:tc>
        <w:tc>
          <w:tcPr>
            <w:tcW w:w="2551" w:type="dxa"/>
            <w:vAlign w:val="center"/>
          </w:tcPr>
          <w:p>
            <w:pPr>
              <w:pStyle w:val="17"/>
            </w:pPr>
            <w:r>
              <w:t>100%</w:t>
            </w:r>
          </w:p>
        </w:tc>
        <w:tc>
          <w:tcPr>
            <w:tcW w:w="2268" w:type="dxa"/>
            <w:vAlign w:val="center"/>
          </w:tcPr>
          <w:p>
            <w:pPr>
              <w:pStyle w:val="17"/>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项目开工时间</w:t>
            </w:r>
          </w:p>
        </w:tc>
        <w:tc>
          <w:tcPr>
            <w:tcW w:w="2835" w:type="dxa"/>
            <w:vAlign w:val="center"/>
          </w:tcPr>
          <w:p>
            <w:pPr>
              <w:pStyle w:val="17"/>
            </w:pPr>
            <w:r>
              <w:t>项目开工时间</w:t>
            </w:r>
          </w:p>
        </w:tc>
        <w:tc>
          <w:tcPr>
            <w:tcW w:w="2551" w:type="dxa"/>
            <w:vAlign w:val="center"/>
          </w:tcPr>
          <w:p>
            <w:pPr>
              <w:pStyle w:val="17"/>
            </w:pPr>
            <w:r>
              <w:t>2023年12月31日</w:t>
            </w:r>
          </w:p>
        </w:tc>
        <w:tc>
          <w:tcPr>
            <w:tcW w:w="2268" w:type="dxa"/>
            <w:vAlign w:val="center"/>
          </w:tcPr>
          <w:p>
            <w:pPr>
              <w:pStyle w:val="17"/>
            </w:pPr>
            <w:r>
              <w:t>开工相关资料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项目成本</w:t>
            </w:r>
          </w:p>
        </w:tc>
        <w:tc>
          <w:tcPr>
            <w:tcW w:w="2835" w:type="dxa"/>
            <w:vAlign w:val="center"/>
          </w:tcPr>
          <w:p>
            <w:pPr>
              <w:pStyle w:val="17"/>
            </w:pPr>
            <w:r>
              <w:t>2023年度项目所需资金</w:t>
            </w:r>
          </w:p>
        </w:tc>
        <w:tc>
          <w:tcPr>
            <w:tcW w:w="2551" w:type="dxa"/>
            <w:vAlign w:val="center"/>
          </w:tcPr>
          <w:p>
            <w:pPr>
              <w:pStyle w:val="17"/>
            </w:pPr>
            <w:r>
              <w:t>≤700万元</w:t>
            </w:r>
          </w:p>
        </w:tc>
        <w:tc>
          <w:tcPr>
            <w:tcW w:w="2268" w:type="dxa"/>
            <w:vAlign w:val="center"/>
          </w:tcPr>
          <w:p>
            <w:pPr>
              <w:pStyle w:val="17"/>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运营高新区公交线路</w:t>
            </w:r>
          </w:p>
        </w:tc>
        <w:tc>
          <w:tcPr>
            <w:tcW w:w="2835" w:type="dxa"/>
            <w:vAlign w:val="center"/>
          </w:tcPr>
          <w:p>
            <w:pPr>
              <w:pStyle w:val="17"/>
            </w:pPr>
            <w:r>
              <w:t>运营高新区线路，推进安次区公交全覆盖工作</w:t>
            </w:r>
          </w:p>
        </w:tc>
        <w:tc>
          <w:tcPr>
            <w:tcW w:w="2551" w:type="dxa"/>
            <w:vAlign w:val="center"/>
          </w:tcPr>
          <w:p>
            <w:pPr>
              <w:pStyle w:val="17"/>
            </w:pPr>
            <w:r>
              <w:t>5条</w:t>
            </w:r>
          </w:p>
        </w:tc>
        <w:tc>
          <w:tcPr>
            <w:tcW w:w="2268" w:type="dxa"/>
            <w:vAlign w:val="center"/>
          </w:tcPr>
          <w:p>
            <w:pPr>
              <w:pStyle w:val="17"/>
            </w:pPr>
            <w:r>
              <w:t>廊交[2020]362号文件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乘客满意度</w:t>
            </w:r>
          </w:p>
        </w:tc>
        <w:tc>
          <w:tcPr>
            <w:tcW w:w="2835" w:type="dxa"/>
            <w:vAlign w:val="center"/>
          </w:tcPr>
          <w:p>
            <w:pPr>
              <w:pStyle w:val="17"/>
            </w:pPr>
            <w:r>
              <w:t>公交乘客满意度</w:t>
            </w:r>
          </w:p>
        </w:tc>
        <w:tc>
          <w:tcPr>
            <w:tcW w:w="2551" w:type="dxa"/>
            <w:vAlign w:val="center"/>
          </w:tcPr>
          <w:p>
            <w:pPr>
              <w:pStyle w:val="17"/>
            </w:pPr>
            <w:r>
              <w:t>≥95%</w:t>
            </w:r>
          </w:p>
        </w:tc>
        <w:tc>
          <w:tcPr>
            <w:tcW w:w="2268" w:type="dxa"/>
            <w:vAlign w:val="center"/>
          </w:tcPr>
          <w:p>
            <w:pPr>
              <w:pStyle w:val="17"/>
            </w:pPr>
            <w:r>
              <w:t>调查统计表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5、廊坊公交合资拓展汽车后市场项目资金绩效目标表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深入落实国企改革相关要求，通过本项目培育廊坊汽配产业新动能，赋能产业链上下游，助力廊坊打造全国现代商贸物流重要基地，同时可以优化企业业务结构，增加企业盈利模式，促进公交事业可持续发展，更好的满足人民群众出行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投入注册资本金笔数</w:t>
            </w:r>
          </w:p>
        </w:tc>
        <w:tc>
          <w:tcPr>
            <w:tcW w:w="2835" w:type="dxa"/>
            <w:vAlign w:val="center"/>
          </w:tcPr>
          <w:p>
            <w:pPr>
              <w:pStyle w:val="17"/>
            </w:pPr>
            <w:r>
              <w:t>成立合资公司本年度投入注册资本金笔数</w:t>
            </w:r>
          </w:p>
        </w:tc>
        <w:tc>
          <w:tcPr>
            <w:tcW w:w="2551" w:type="dxa"/>
            <w:vAlign w:val="center"/>
          </w:tcPr>
          <w:p>
            <w:pPr>
              <w:pStyle w:val="17"/>
            </w:pPr>
            <w:r>
              <w:t>1笔</w:t>
            </w:r>
          </w:p>
        </w:tc>
        <w:tc>
          <w:tcPr>
            <w:tcW w:w="2268" w:type="dxa"/>
            <w:vAlign w:val="center"/>
          </w:tcPr>
          <w:p>
            <w:pPr>
              <w:pStyle w:val="17"/>
            </w:pPr>
            <w:r>
              <w:t>资金拨付记录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出资完成率</w:t>
            </w:r>
          </w:p>
        </w:tc>
        <w:tc>
          <w:tcPr>
            <w:tcW w:w="2835" w:type="dxa"/>
            <w:vAlign w:val="center"/>
          </w:tcPr>
          <w:p>
            <w:pPr>
              <w:pStyle w:val="17"/>
            </w:pPr>
            <w:r>
              <w:t>完成合资公司出资</w:t>
            </w:r>
          </w:p>
        </w:tc>
        <w:tc>
          <w:tcPr>
            <w:tcW w:w="2551" w:type="dxa"/>
            <w:vAlign w:val="center"/>
          </w:tcPr>
          <w:p>
            <w:pPr>
              <w:pStyle w:val="17"/>
            </w:pPr>
            <w:r>
              <w:t>100%</w:t>
            </w:r>
          </w:p>
        </w:tc>
        <w:tc>
          <w:tcPr>
            <w:tcW w:w="2268" w:type="dxa"/>
            <w:vAlign w:val="center"/>
          </w:tcPr>
          <w:p>
            <w:pPr>
              <w:pStyle w:val="17"/>
            </w:pPr>
            <w:r>
              <w:t>出资证明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完成资本金注入时间</w:t>
            </w:r>
          </w:p>
        </w:tc>
        <w:tc>
          <w:tcPr>
            <w:tcW w:w="2835" w:type="dxa"/>
            <w:vAlign w:val="center"/>
          </w:tcPr>
          <w:p>
            <w:pPr>
              <w:pStyle w:val="17"/>
            </w:pPr>
            <w:r>
              <w:t>合资公司完成先期资本注入时间</w:t>
            </w:r>
          </w:p>
        </w:tc>
        <w:tc>
          <w:tcPr>
            <w:tcW w:w="2551" w:type="dxa"/>
            <w:vAlign w:val="center"/>
          </w:tcPr>
          <w:p>
            <w:pPr>
              <w:pStyle w:val="17"/>
            </w:pPr>
            <w:r>
              <w:t>2023年6月30日</w:t>
            </w:r>
          </w:p>
        </w:tc>
        <w:tc>
          <w:tcPr>
            <w:tcW w:w="2268" w:type="dxa"/>
            <w:vAlign w:val="center"/>
          </w:tcPr>
          <w:p>
            <w:pPr>
              <w:pStyle w:val="17"/>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投入注册资本金</w:t>
            </w:r>
          </w:p>
        </w:tc>
        <w:tc>
          <w:tcPr>
            <w:tcW w:w="2835" w:type="dxa"/>
            <w:vAlign w:val="center"/>
          </w:tcPr>
          <w:p>
            <w:pPr>
              <w:pStyle w:val="17"/>
            </w:pPr>
            <w:r>
              <w:t>成立合资公司公交集团投入注册资本金</w:t>
            </w:r>
          </w:p>
        </w:tc>
        <w:tc>
          <w:tcPr>
            <w:tcW w:w="2551" w:type="dxa"/>
            <w:vAlign w:val="center"/>
          </w:tcPr>
          <w:p>
            <w:pPr>
              <w:pStyle w:val="17"/>
            </w:pPr>
            <w:r>
              <w:t>200万元</w:t>
            </w:r>
          </w:p>
        </w:tc>
        <w:tc>
          <w:tcPr>
            <w:tcW w:w="2268" w:type="dxa"/>
            <w:vAlign w:val="center"/>
          </w:tcPr>
          <w:p>
            <w:pPr>
              <w:pStyle w:val="17"/>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满足消费者对优质产品的需求</w:t>
            </w:r>
          </w:p>
        </w:tc>
        <w:tc>
          <w:tcPr>
            <w:tcW w:w="2835" w:type="dxa"/>
            <w:vAlign w:val="center"/>
          </w:tcPr>
          <w:p>
            <w:pPr>
              <w:pStyle w:val="17"/>
            </w:pPr>
            <w:r>
              <w:t>按消费者需求选用优质产品及时配送</w:t>
            </w:r>
          </w:p>
        </w:tc>
        <w:tc>
          <w:tcPr>
            <w:tcW w:w="2551" w:type="dxa"/>
            <w:vAlign w:val="center"/>
          </w:tcPr>
          <w:p>
            <w:pPr>
              <w:pStyle w:val="17"/>
            </w:pPr>
            <w:r>
              <w:t>≥90%</w:t>
            </w:r>
          </w:p>
        </w:tc>
        <w:tc>
          <w:tcPr>
            <w:tcW w:w="2268" w:type="dxa"/>
            <w:vAlign w:val="center"/>
          </w:tcPr>
          <w:p>
            <w:pPr>
              <w:pStyle w:val="17"/>
            </w:pPr>
            <w:r>
              <w:t>客户需求订单完成情况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合资公司实现公交集团方净利润</w:t>
            </w:r>
          </w:p>
        </w:tc>
        <w:tc>
          <w:tcPr>
            <w:tcW w:w="2835" w:type="dxa"/>
            <w:vAlign w:val="center"/>
          </w:tcPr>
          <w:p>
            <w:pPr>
              <w:pStyle w:val="17"/>
            </w:pPr>
            <w:r>
              <w:t>合资公司成立第一年实现公交集团方净利润</w:t>
            </w:r>
          </w:p>
        </w:tc>
        <w:tc>
          <w:tcPr>
            <w:tcW w:w="2551" w:type="dxa"/>
            <w:vAlign w:val="center"/>
          </w:tcPr>
          <w:p>
            <w:pPr>
              <w:pStyle w:val="17"/>
            </w:pPr>
            <w:r>
              <w:t>≥4万元</w:t>
            </w:r>
          </w:p>
        </w:tc>
        <w:tc>
          <w:tcPr>
            <w:tcW w:w="2268" w:type="dxa"/>
            <w:vAlign w:val="center"/>
          </w:tcPr>
          <w:p>
            <w:pPr>
              <w:pStyle w:val="17"/>
            </w:pPr>
            <w:r>
              <w:t>年度财务报告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合资方满意度</w:t>
            </w:r>
          </w:p>
        </w:tc>
        <w:tc>
          <w:tcPr>
            <w:tcW w:w="2835" w:type="dxa"/>
            <w:vAlign w:val="center"/>
          </w:tcPr>
          <w:p>
            <w:pPr>
              <w:pStyle w:val="17"/>
            </w:pPr>
            <w:r>
              <w:t>另两方合资方满意度</w:t>
            </w:r>
          </w:p>
        </w:tc>
        <w:tc>
          <w:tcPr>
            <w:tcW w:w="2551" w:type="dxa"/>
            <w:vAlign w:val="center"/>
          </w:tcPr>
          <w:p>
            <w:pPr>
              <w:pStyle w:val="17"/>
            </w:pPr>
            <w:r>
              <w:t>≥90%</w:t>
            </w:r>
          </w:p>
        </w:tc>
        <w:tc>
          <w:tcPr>
            <w:tcW w:w="2268" w:type="dxa"/>
            <w:vAlign w:val="center"/>
          </w:tcPr>
          <w:p>
            <w:pPr>
              <w:pStyle w:val="17"/>
            </w:pPr>
            <w:r>
              <w:t>合资方满意度调查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6、廊坊市城市建设工程集团有限公司增加注册资本金绩效目标表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1.通过招拍挂取得西户屯棚户区改造项目二期广阳道南侧77亩地块土地使用权证，如期开发建设，尽快达到商品房预销售，以实现项目资金回笼。</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征地面积</w:t>
            </w:r>
          </w:p>
        </w:tc>
        <w:tc>
          <w:tcPr>
            <w:tcW w:w="2835" w:type="dxa"/>
            <w:vAlign w:val="center"/>
          </w:tcPr>
          <w:p>
            <w:pPr>
              <w:pStyle w:val="17"/>
            </w:pPr>
            <w:r>
              <w:t>西户屯棚户区改造项目二期地块中50万元购得土地的一部分</w:t>
            </w:r>
          </w:p>
        </w:tc>
        <w:tc>
          <w:tcPr>
            <w:tcW w:w="2551" w:type="dxa"/>
            <w:vAlign w:val="center"/>
          </w:tcPr>
          <w:p>
            <w:pPr>
              <w:pStyle w:val="17"/>
            </w:pPr>
            <w:r>
              <w:t>≥0.1亩</w:t>
            </w:r>
          </w:p>
        </w:tc>
        <w:tc>
          <w:tcPr>
            <w:tcW w:w="2268" w:type="dxa"/>
            <w:vAlign w:val="center"/>
          </w:tcPr>
          <w:p>
            <w:pPr>
              <w:pStyle w:val="17"/>
            </w:pPr>
            <w:r>
              <w:t>国有建设用地使用权出让合同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征收率</w:t>
            </w:r>
          </w:p>
        </w:tc>
        <w:tc>
          <w:tcPr>
            <w:tcW w:w="2835" w:type="dxa"/>
            <w:vAlign w:val="center"/>
          </w:tcPr>
          <w:p>
            <w:pPr>
              <w:pStyle w:val="17"/>
            </w:pPr>
            <w:r>
              <w:t>西户屯棚户区改造项目二期地块中50万元购得土地的一部分</w:t>
            </w:r>
          </w:p>
        </w:tc>
        <w:tc>
          <w:tcPr>
            <w:tcW w:w="2551" w:type="dxa"/>
            <w:vAlign w:val="center"/>
          </w:tcPr>
          <w:p>
            <w:pPr>
              <w:pStyle w:val="17"/>
            </w:pPr>
            <w:r>
              <w:t>100%</w:t>
            </w:r>
          </w:p>
        </w:tc>
        <w:tc>
          <w:tcPr>
            <w:tcW w:w="2268" w:type="dxa"/>
            <w:vAlign w:val="center"/>
          </w:tcPr>
          <w:p>
            <w:pPr>
              <w:pStyle w:val="17"/>
            </w:pPr>
            <w:r>
              <w:t>土地使用权证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取得土地使用权证时间</w:t>
            </w:r>
          </w:p>
        </w:tc>
        <w:tc>
          <w:tcPr>
            <w:tcW w:w="2835" w:type="dxa"/>
            <w:vAlign w:val="center"/>
          </w:tcPr>
          <w:p>
            <w:pPr>
              <w:pStyle w:val="17"/>
            </w:pPr>
            <w:r>
              <w:t>西户屯棚户区改造项目二期地块根据计划2023 年1季度首笔资金支付50% 即可推进项目，半年内支付剩余全部价款，集 团完全拥有土地使用权证</w:t>
            </w:r>
          </w:p>
        </w:tc>
        <w:tc>
          <w:tcPr>
            <w:tcW w:w="2551" w:type="dxa"/>
            <w:vAlign w:val="center"/>
          </w:tcPr>
          <w:p>
            <w:pPr>
              <w:pStyle w:val="17"/>
            </w:pPr>
            <w:r>
              <w:t>2023. 12. 31</w:t>
            </w:r>
          </w:p>
        </w:tc>
        <w:tc>
          <w:tcPr>
            <w:tcW w:w="2268" w:type="dxa"/>
            <w:vAlign w:val="center"/>
          </w:tcPr>
          <w:p>
            <w:pPr>
              <w:pStyle w:val="17"/>
            </w:pPr>
            <w:r>
              <w:t>土地使用权证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土地出让金基准地价</w:t>
            </w:r>
          </w:p>
        </w:tc>
        <w:tc>
          <w:tcPr>
            <w:tcW w:w="2835" w:type="dxa"/>
            <w:vAlign w:val="center"/>
          </w:tcPr>
          <w:p>
            <w:pPr>
              <w:pStyle w:val="17"/>
            </w:pPr>
            <w:r>
              <w:t>按照廊坊市土地出让金基准地价征收</w:t>
            </w:r>
          </w:p>
        </w:tc>
        <w:tc>
          <w:tcPr>
            <w:tcW w:w="2551" w:type="dxa"/>
            <w:vAlign w:val="center"/>
          </w:tcPr>
          <w:p>
            <w:pPr>
              <w:pStyle w:val="17"/>
            </w:pPr>
            <w:r>
              <w:t>≤459万元/亩</w:t>
            </w:r>
          </w:p>
        </w:tc>
        <w:tc>
          <w:tcPr>
            <w:tcW w:w="2268" w:type="dxa"/>
            <w:vAlign w:val="center"/>
          </w:tcPr>
          <w:p>
            <w:pPr>
              <w:pStyle w:val="17"/>
            </w:pPr>
            <w:r>
              <w:t>国有建设用地使用权出让合同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减少棚户区居民上访率，维护社会稳定</w:t>
            </w:r>
          </w:p>
        </w:tc>
        <w:tc>
          <w:tcPr>
            <w:tcW w:w="2835" w:type="dxa"/>
            <w:vAlign w:val="center"/>
          </w:tcPr>
          <w:p>
            <w:pPr>
              <w:pStyle w:val="17"/>
            </w:pPr>
            <w:r>
              <w:t>减少棚户区居民上访率，维护社会稳定</w:t>
            </w:r>
          </w:p>
        </w:tc>
        <w:tc>
          <w:tcPr>
            <w:tcW w:w="2551" w:type="dxa"/>
            <w:vAlign w:val="center"/>
          </w:tcPr>
          <w:p>
            <w:pPr>
              <w:pStyle w:val="17"/>
            </w:pPr>
            <w:r>
              <w:t>0%</w:t>
            </w:r>
          </w:p>
        </w:tc>
        <w:tc>
          <w:tcPr>
            <w:tcW w:w="2268" w:type="dxa"/>
            <w:vAlign w:val="center"/>
          </w:tcPr>
          <w:p>
            <w:pPr>
              <w:pStyle w:val="17"/>
            </w:pPr>
            <w:r>
              <w:t>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棚户区居民满意</w:t>
            </w:r>
          </w:p>
        </w:tc>
        <w:tc>
          <w:tcPr>
            <w:tcW w:w="2835" w:type="dxa"/>
            <w:vAlign w:val="center"/>
          </w:tcPr>
          <w:p>
            <w:pPr>
              <w:pStyle w:val="17"/>
            </w:pPr>
            <w:r>
              <w:t>居住环境即将改善，提升居民生活幸福感</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7、廊坊市农工商总公司解决历史遗留问题资金绩效目标表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对项目的开展，100%及时缴纳职工各项保险金，发放病重、下岗职工生活费或经济补偿金，发放退伍军人生活补贴、职工工资、去世人员抚恤金，全部兑现，实现对去世职工家属安抚、保证职工按时办理退休、看病享有国家医疗报销，确保下岗人员、退役军人、退休人员及在岗人员信访稳定，解决历史遗留问题，维护公司稳定目标的达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 xml:space="preserve">病重及下岗职工保险金欠缴、                  生活费或经济补偿金欠发的人数  </w:t>
            </w:r>
          </w:p>
        </w:tc>
        <w:tc>
          <w:tcPr>
            <w:tcW w:w="2835" w:type="dxa"/>
            <w:vAlign w:val="center"/>
          </w:tcPr>
          <w:p>
            <w:pPr>
              <w:pStyle w:val="17"/>
            </w:pPr>
            <w:r>
              <w:t>计划补缴2000.1-2022.12月保险金，按照档案工资基数核准表人数补缴保险金人数；自2000年1月未发放过生活费，按廊坊市最低工资标准的80%发放生活费或按照劳动法解除终止劳动关系人数未发放经济补偿金的人数</w:t>
            </w:r>
          </w:p>
        </w:tc>
        <w:tc>
          <w:tcPr>
            <w:tcW w:w="2551" w:type="dxa"/>
            <w:vAlign w:val="center"/>
          </w:tcPr>
          <w:p>
            <w:pPr>
              <w:pStyle w:val="17"/>
            </w:pPr>
            <w:r>
              <w:t>2人</w:t>
            </w:r>
          </w:p>
        </w:tc>
        <w:tc>
          <w:tcPr>
            <w:tcW w:w="2268" w:type="dxa"/>
            <w:vAlign w:val="center"/>
          </w:tcPr>
          <w:p>
            <w:pPr>
              <w:pStyle w:val="17"/>
            </w:pPr>
            <w:r>
              <w:t>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退役军人生活补贴人数</w:t>
            </w:r>
          </w:p>
        </w:tc>
        <w:tc>
          <w:tcPr>
            <w:tcW w:w="2835" w:type="dxa"/>
            <w:vAlign w:val="center"/>
          </w:tcPr>
          <w:p>
            <w:pPr>
              <w:pStyle w:val="17"/>
            </w:pPr>
            <w:r>
              <w:t>计划按廊坊市最低工资标准的80%发放退伍军人2017.7-2022.12月生活费的人数</w:t>
            </w:r>
          </w:p>
        </w:tc>
        <w:tc>
          <w:tcPr>
            <w:tcW w:w="2551" w:type="dxa"/>
            <w:vAlign w:val="center"/>
          </w:tcPr>
          <w:p>
            <w:pPr>
              <w:pStyle w:val="17"/>
            </w:pPr>
            <w:r>
              <w:t>3人</w:t>
            </w:r>
          </w:p>
        </w:tc>
        <w:tc>
          <w:tcPr>
            <w:tcW w:w="2268" w:type="dxa"/>
            <w:vAlign w:val="center"/>
          </w:tcPr>
          <w:p>
            <w:pPr>
              <w:pStyle w:val="17"/>
            </w:pPr>
            <w:r>
              <w:t>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缴纳职工保险金人数</w:t>
            </w:r>
          </w:p>
        </w:tc>
        <w:tc>
          <w:tcPr>
            <w:tcW w:w="2835" w:type="dxa"/>
            <w:vAlign w:val="center"/>
          </w:tcPr>
          <w:p>
            <w:pPr>
              <w:pStyle w:val="17"/>
            </w:pPr>
            <w:r>
              <w:t>计划按照档案工资基数核准，缴纳养老保险金、医疗保险等各项保险金的人数</w:t>
            </w:r>
          </w:p>
        </w:tc>
        <w:tc>
          <w:tcPr>
            <w:tcW w:w="2551" w:type="dxa"/>
            <w:vAlign w:val="center"/>
          </w:tcPr>
          <w:p>
            <w:pPr>
              <w:pStyle w:val="17"/>
            </w:pPr>
            <w:r>
              <w:t>9人</w:t>
            </w:r>
          </w:p>
        </w:tc>
        <w:tc>
          <w:tcPr>
            <w:tcW w:w="2268" w:type="dxa"/>
            <w:vAlign w:val="center"/>
          </w:tcPr>
          <w:p>
            <w:pPr>
              <w:pStyle w:val="17"/>
            </w:pPr>
            <w:r>
              <w:t>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去世人员抚恤金的人数</w:t>
            </w:r>
          </w:p>
        </w:tc>
        <w:tc>
          <w:tcPr>
            <w:tcW w:w="2835" w:type="dxa"/>
            <w:vAlign w:val="center"/>
          </w:tcPr>
          <w:p>
            <w:pPr>
              <w:pStyle w:val="17"/>
            </w:pPr>
            <w:r>
              <w:t>2018－2022年发放抚恤金的人数</w:t>
            </w:r>
          </w:p>
        </w:tc>
        <w:tc>
          <w:tcPr>
            <w:tcW w:w="2551" w:type="dxa"/>
            <w:vAlign w:val="center"/>
          </w:tcPr>
          <w:p>
            <w:pPr>
              <w:pStyle w:val="17"/>
            </w:pPr>
            <w:r>
              <w:t>10人</w:t>
            </w:r>
          </w:p>
        </w:tc>
        <w:tc>
          <w:tcPr>
            <w:tcW w:w="2268" w:type="dxa"/>
            <w:vAlign w:val="center"/>
          </w:tcPr>
          <w:p>
            <w:pPr>
              <w:pStyle w:val="17"/>
            </w:pPr>
            <w:r>
              <w:t>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在岗人员工资人数</w:t>
            </w:r>
          </w:p>
        </w:tc>
        <w:tc>
          <w:tcPr>
            <w:tcW w:w="2835" w:type="dxa"/>
            <w:vAlign w:val="center"/>
          </w:tcPr>
          <w:p>
            <w:pPr>
              <w:pStyle w:val="17"/>
            </w:pPr>
            <w:r>
              <w:t>计划按市人社局审批档案工资标准表在职人员发放工资的人数</w:t>
            </w:r>
          </w:p>
        </w:tc>
        <w:tc>
          <w:tcPr>
            <w:tcW w:w="2551" w:type="dxa"/>
            <w:vAlign w:val="center"/>
          </w:tcPr>
          <w:p>
            <w:pPr>
              <w:pStyle w:val="17"/>
            </w:pPr>
            <w:r>
              <w:t>7人</w:t>
            </w:r>
          </w:p>
        </w:tc>
        <w:tc>
          <w:tcPr>
            <w:tcW w:w="2268" w:type="dxa"/>
            <w:vAlign w:val="center"/>
          </w:tcPr>
          <w:p>
            <w:pPr>
              <w:pStyle w:val="17"/>
            </w:pPr>
            <w:r>
              <w:t>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下岗职工生活费、退役军人生活费、去世人员抚恤金、在岗人员工资发放率</w:t>
            </w:r>
          </w:p>
        </w:tc>
        <w:tc>
          <w:tcPr>
            <w:tcW w:w="2835" w:type="dxa"/>
            <w:vAlign w:val="center"/>
          </w:tcPr>
          <w:p>
            <w:pPr>
              <w:pStyle w:val="17"/>
            </w:pPr>
            <w:r>
              <w:t>实际发放金额÷应发放金额×100</w:t>
            </w:r>
          </w:p>
        </w:tc>
        <w:tc>
          <w:tcPr>
            <w:tcW w:w="2551" w:type="dxa"/>
            <w:vAlign w:val="center"/>
          </w:tcPr>
          <w:p>
            <w:pPr>
              <w:pStyle w:val="17"/>
            </w:pPr>
            <w:r>
              <w:t>100%</w:t>
            </w:r>
          </w:p>
        </w:tc>
        <w:tc>
          <w:tcPr>
            <w:tcW w:w="2268" w:type="dxa"/>
            <w:vAlign w:val="center"/>
          </w:tcPr>
          <w:p>
            <w:pPr>
              <w:pStyle w:val="17"/>
            </w:pPr>
            <w:r>
              <w:t>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保险金上缴率</w:t>
            </w:r>
          </w:p>
        </w:tc>
        <w:tc>
          <w:tcPr>
            <w:tcW w:w="2835" w:type="dxa"/>
            <w:vAlign w:val="center"/>
          </w:tcPr>
          <w:p>
            <w:pPr>
              <w:pStyle w:val="17"/>
            </w:pPr>
            <w:r>
              <w:t>实际上缴金额÷应上缴金额×100</w:t>
            </w:r>
          </w:p>
        </w:tc>
        <w:tc>
          <w:tcPr>
            <w:tcW w:w="2551" w:type="dxa"/>
            <w:vAlign w:val="center"/>
          </w:tcPr>
          <w:p>
            <w:pPr>
              <w:pStyle w:val="17"/>
            </w:pPr>
            <w:r>
              <w:t>100%</w:t>
            </w:r>
          </w:p>
        </w:tc>
        <w:tc>
          <w:tcPr>
            <w:tcW w:w="2268" w:type="dxa"/>
            <w:vAlign w:val="center"/>
          </w:tcPr>
          <w:p>
            <w:pPr>
              <w:pStyle w:val="17"/>
            </w:pPr>
            <w:r>
              <w:t>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及时发放下岗职工生活费或经济补偿金、退役军人生活费、去世人员抚恤金、在岗人员工资</w:t>
            </w:r>
          </w:p>
        </w:tc>
        <w:tc>
          <w:tcPr>
            <w:tcW w:w="2551" w:type="dxa"/>
            <w:vAlign w:val="center"/>
          </w:tcPr>
          <w:p>
            <w:pPr>
              <w:pStyle w:val="17"/>
            </w:pPr>
            <w:r>
              <w:t>及时发放</w:t>
            </w:r>
          </w:p>
        </w:tc>
        <w:tc>
          <w:tcPr>
            <w:tcW w:w="2268" w:type="dxa"/>
            <w:vAlign w:val="center"/>
          </w:tcPr>
          <w:p>
            <w:pPr>
              <w:pStyle w:val="17"/>
            </w:pPr>
            <w:r>
              <w:t>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上缴及时性</w:t>
            </w:r>
          </w:p>
        </w:tc>
        <w:tc>
          <w:tcPr>
            <w:tcW w:w="2835" w:type="dxa"/>
            <w:vAlign w:val="center"/>
          </w:tcPr>
          <w:p>
            <w:pPr>
              <w:pStyle w:val="17"/>
            </w:pPr>
            <w:r>
              <w:t>及时补缴下岗职工2000年1月至2022年12月保险金；及时缴纳职工2019.1-2022.12月和退役军人2017.7-2022.12月养老保险金、医疗保险等各项保险金</w:t>
            </w:r>
          </w:p>
        </w:tc>
        <w:tc>
          <w:tcPr>
            <w:tcW w:w="2551" w:type="dxa"/>
            <w:vAlign w:val="center"/>
          </w:tcPr>
          <w:p>
            <w:pPr>
              <w:pStyle w:val="17"/>
            </w:pPr>
            <w:r>
              <w:t>及时上缴</w:t>
            </w:r>
          </w:p>
        </w:tc>
        <w:tc>
          <w:tcPr>
            <w:tcW w:w="2268" w:type="dxa"/>
            <w:vAlign w:val="center"/>
          </w:tcPr>
          <w:p>
            <w:pPr>
              <w:pStyle w:val="17"/>
            </w:pPr>
            <w:r>
              <w:t>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病重及下岗职工保险金欠缴、                  生活费或经济补偿金欠发的成本</w:t>
            </w:r>
          </w:p>
        </w:tc>
        <w:tc>
          <w:tcPr>
            <w:tcW w:w="2835" w:type="dxa"/>
            <w:vAlign w:val="center"/>
          </w:tcPr>
          <w:p>
            <w:pPr>
              <w:pStyle w:val="17"/>
            </w:pPr>
            <w:r>
              <w:t>补缴2000.1-2022.12月保险金，按照档案工资基数核准表补缴保险金；按廊坊市最低工资标准的80%发放生活费或按照劳动法解除终止劳动关系人数未发放经济补偿金的金额</w:t>
            </w:r>
          </w:p>
        </w:tc>
        <w:tc>
          <w:tcPr>
            <w:tcW w:w="2551" w:type="dxa"/>
            <w:vAlign w:val="center"/>
          </w:tcPr>
          <w:p>
            <w:pPr>
              <w:pStyle w:val="17"/>
            </w:pPr>
            <w:r>
              <w:t>≤77.3万元</w:t>
            </w:r>
          </w:p>
        </w:tc>
        <w:tc>
          <w:tcPr>
            <w:tcW w:w="2268" w:type="dxa"/>
            <w:vAlign w:val="center"/>
          </w:tcPr>
          <w:p>
            <w:pPr>
              <w:pStyle w:val="17"/>
            </w:pPr>
            <w:r>
              <w:t>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退役军人生活补贴成本</w:t>
            </w:r>
          </w:p>
        </w:tc>
        <w:tc>
          <w:tcPr>
            <w:tcW w:w="2835" w:type="dxa"/>
            <w:vAlign w:val="center"/>
          </w:tcPr>
          <w:p>
            <w:pPr>
              <w:pStyle w:val="17"/>
            </w:pPr>
            <w:r>
              <w:t>自2017年落实退役军人政策，按廊坊市最低工资标准的80%发放2017.7-2022.12月生活费金额</w:t>
            </w:r>
          </w:p>
        </w:tc>
        <w:tc>
          <w:tcPr>
            <w:tcW w:w="2551" w:type="dxa"/>
            <w:vAlign w:val="center"/>
          </w:tcPr>
          <w:p>
            <w:pPr>
              <w:pStyle w:val="17"/>
            </w:pPr>
            <w:r>
              <w:t>≤27.2万元</w:t>
            </w:r>
          </w:p>
        </w:tc>
        <w:tc>
          <w:tcPr>
            <w:tcW w:w="2268" w:type="dxa"/>
            <w:vAlign w:val="center"/>
          </w:tcPr>
          <w:p>
            <w:pPr>
              <w:pStyle w:val="17"/>
            </w:pPr>
            <w:r>
              <w:t>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缴纳职工保险金成本</w:t>
            </w:r>
          </w:p>
        </w:tc>
        <w:tc>
          <w:tcPr>
            <w:tcW w:w="2835" w:type="dxa"/>
            <w:vAlign w:val="center"/>
          </w:tcPr>
          <w:p>
            <w:pPr>
              <w:pStyle w:val="17"/>
            </w:pPr>
            <w:r>
              <w:t>按照档案工资基数核准，缴纳养老保险金、医疗保险等各项保险金的金额</w:t>
            </w:r>
          </w:p>
        </w:tc>
        <w:tc>
          <w:tcPr>
            <w:tcW w:w="2551" w:type="dxa"/>
            <w:vAlign w:val="center"/>
          </w:tcPr>
          <w:p>
            <w:pPr>
              <w:pStyle w:val="17"/>
            </w:pPr>
            <w:r>
              <w:t>≤86.9万元</w:t>
            </w:r>
          </w:p>
        </w:tc>
        <w:tc>
          <w:tcPr>
            <w:tcW w:w="2268" w:type="dxa"/>
            <w:vAlign w:val="center"/>
          </w:tcPr>
          <w:p>
            <w:pPr>
              <w:pStyle w:val="17"/>
            </w:pPr>
            <w:r>
              <w:t>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去世人员抚恤金成本</w:t>
            </w:r>
          </w:p>
        </w:tc>
        <w:tc>
          <w:tcPr>
            <w:tcW w:w="2835" w:type="dxa"/>
            <w:vAlign w:val="center"/>
          </w:tcPr>
          <w:p>
            <w:pPr>
              <w:pStyle w:val="17"/>
            </w:pPr>
            <w:r>
              <w:t>应发未发放抚恤金</w:t>
            </w:r>
          </w:p>
        </w:tc>
        <w:tc>
          <w:tcPr>
            <w:tcW w:w="2551" w:type="dxa"/>
            <w:vAlign w:val="center"/>
          </w:tcPr>
          <w:p>
            <w:pPr>
              <w:pStyle w:val="17"/>
            </w:pPr>
            <w:r>
              <w:t>≤45.3万元</w:t>
            </w:r>
          </w:p>
        </w:tc>
        <w:tc>
          <w:tcPr>
            <w:tcW w:w="2268" w:type="dxa"/>
            <w:vAlign w:val="center"/>
          </w:tcPr>
          <w:p>
            <w:pPr>
              <w:pStyle w:val="17"/>
            </w:pPr>
            <w:r>
              <w:t>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在岗人员工资成本</w:t>
            </w:r>
          </w:p>
        </w:tc>
        <w:tc>
          <w:tcPr>
            <w:tcW w:w="2835" w:type="dxa"/>
            <w:vAlign w:val="center"/>
          </w:tcPr>
          <w:p>
            <w:pPr>
              <w:pStyle w:val="17"/>
            </w:pPr>
            <w:r>
              <w:t>按市人社局审批档案工资标准表覆盖率、发放总人数的比例金额</w:t>
            </w:r>
          </w:p>
        </w:tc>
        <w:tc>
          <w:tcPr>
            <w:tcW w:w="2551" w:type="dxa"/>
            <w:vAlign w:val="center"/>
          </w:tcPr>
          <w:p>
            <w:pPr>
              <w:pStyle w:val="17"/>
            </w:pPr>
            <w:r>
              <w:t>≤53.3万元</w:t>
            </w:r>
          </w:p>
        </w:tc>
        <w:tc>
          <w:tcPr>
            <w:tcW w:w="2268" w:type="dxa"/>
            <w:vAlign w:val="center"/>
          </w:tcPr>
          <w:p>
            <w:pPr>
              <w:pStyle w:val="17"/>
            </w:pPr>
            <w:r>
              <w:t>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降低上访率</w:t>
            </w:r>
          </w:p>
        </w:tc>
        <w:tc>
          <w:tcPr>
            <w:tcW w:w="2835" w:type="dxa"/>
            <w:vAlign w:val="center"/>
          </w:tcPr>
          <w:p>
            <w:pPr>
              <w:pStyle w:val="17"/>
            </w:pPr>
            <w:r>
              <w:t>实际上访人数÷应上访人数×100</w:t>
            </w:r>
          </w:p>
        </w:tc>
        <w:tc>
          <w:tcPr>
            <w:tcW w:w="2551" w:type="dxa"/>
            <w:vAlign w:val="center"/>
          </w:tcPr>
          <w:p>
            <w:pPr>
              <w:pStyle w:val="17"/>
            </w:pPr>
            <w:r>
              <w:t>≤8%</w:t>
            </w:r>
          </w:p>
        </w:tc>
        <w:tc>
          <w:tcPr>
            <w:tcW w:w="2268" w:type="dxa"/>
            <w:vAlign w:val="center"/>
          </w:tcPr>
          <w:p>
            <w:pPr>
              <w:pStyle w:val="17"/>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欠发、欠缴人员满意度</w:t>
            </w:r>
          </w:p>
        </w:tc>
        <w:tc>
          <w:tcPr>
            <w:tcW w:w="2551" w:type="dxa"/>
            <w:vAlign w:val="center"/>
          </w:tcPr>
          <w:p>
            <w:pPr>
              <w:pStyle w:val="17"/>
            </w:pPr>
            <w:r>
              <w:t>≥92%</w:t>
            </w:r>
          </w:p>
        </w:tc>
        <w:tc>
          <w:tcPr>
            <w:tcW w:w="2268" w:type="dxa"/>
            <w:vAlign w:val="center"/>
          </w:tcPr>
          <w:p>
            <w:pPr>
              <w:pStyle w:val="17"/>
            </w:pPr>
            <w:r>
              <w:t>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8、廊坊市天都大酒店补充注册资本金绩效目标表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1.注册资本金划拨后，按照计划实施方案：                                                                   1、完成更新锅炉设备，实现节约能源消耗目标，利于酒店拓展市场扩大经营；                                  2、完成逐步更新完善相关设备设施，提升接待环境及整体软件服务，保证资质提升顺利通过，能够增收创收，实现减亏持续经营和服务对象满意度的目标；                                                                                                                                                                                          3、完成偿还借款本金及支付相关利息，解决酒店债务问题，实现酒店持续经营的目标；                          4、弥补事业编制人员工资缺口，确保酒店人员职工队伍稳定，保证酒店各项工作稳步发展。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改造锅炉设备数量</w:t>
            </w:r>
          </w:p>
        </w:tc>
        <w:tc>
          <w:tcPr>
            <w:tcW w:w="2835" w:type="dxa"/>
            <w:vAlign w:val="center"/>
          </w:tcPr>
          <w:p>
            <w:pPr>
              <w:pStyle w:val="17"/>
            </w:pPr>
            <w:r>
              <w:t>反映购置设备数量完成情况.</w:t>
            </w:r>
          </w:p>
        </w:tc>
        <w:tc>
          <w:tcPr>
            <w:tcW w:w="2551" w:type="dxa"/>
            <w:vAlign w:val="center"/>
          </w:tcPr>
          <w:p>
            <w:pPr>
              <w:pStyle w:val="17"/>
            </w:pPr>
            <w:r>
              <w:t>1套</w:t>
            </w:r>
          </w:p>
        </w:tc>
        <w:tc>
          <w:tcPr>
            <w:tcW w:w="2268" w:type="dxa"/>
            <w:vAlign w:val="center"/>
          </w:tcPr>
          <w:p>
            <w:pPr>
              <w:pStyle w:val="17"/>
            </w:pPr>
            <w:r>
              <w:t>根据预算资金计划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弥补经费缺口</w:t>
            </w:r>
          </w:p>
        </w:tc>
        <w:tc>
          <w:tcPr>
            <w:tcW w:w="2835" w:type="dxa"/>
            <w:vAlign w:val="center"/>
          </w:tcPr>
          <w:p>
            <w:pPr>
              <w:pStyle w:val="17"/>
            </w:pPr>
            <w:r>
              <w:t>31人事业编制人员工资及保险.</w:t>
            </w:r>
          </w:p>
        </w:tc>
        <w:tc>
          <w:tcPr>
            <w:tcW w:w="2551" w:type="dxa"/>
            <w:vAlign w:val="center"/>
          </w:tcPr>
          <w:p>
            <w:pPr>
              <w:pStyle w:val="17"/>
            </w:pPr>
            <w:r>
              <w:t>31人</w:t>
            </w:r>
          </w:p>
        </w:tc>
        <w:tc>
          <w:tcPr>
            <w:tcW w:w="2268" w:type="dxa"/>
            <w:vAlign w:val="center"/>
          </w:tcPr>
          <w:p>
            <w:pPr>
              <w:pStyle w:val="17"/>
            </w:pPr>
            <w:r>
              <w:t>根据酒店目前在编人员情况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采购质量合格率</w:t>
            </w:r>
          </w:p>
        </w:tc>
        <w:tc>
          <w:tcPr>
            <w:tcW w:w="2835" w:type="dxa"/>
            <w:vAlign w:val="center"/>
          </w:tcPr>
          <w:p>
            <w:pPr>
              <w:pStyle w:val="17"/>
            </w:pPr>
            <w:r>
              <w:t>反映酒店锅炉设备改造以及酒店其他设备设施采购产品合格率.</w:t>
            </w:r>
          </w:p>
        </w:tc>
        <w:tc>
          <w:tcPr>
            <w:tcW w:w="2551" w:type="dxa"/>
            <w:vAlign w:val="center"/>
          </w:tcPr>
          <w:p>
            <w:pPr>
              <w:pStyle w:val="17"/>
            </w:pPr>
            <w:r>
              <w:t>100%</w:t>
            </w:r>
          </w:p>
        </w:tc>
        <w:tc>
          <w:tcPr>
            <w:tcW w:w="2268" w:type="dxa"/>
            <w:vAlign w:val="center"/>
          </w:tcPr>
          <w:p>
            <w:pPr>
              <w:pStyle w:val="17"/>
            </w:pPr>
            <w:r>
              <w:t>根据酒店实施计划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竣工验收合格率</w:t>
            </w:r>
          </w:p>
        </w:tc>
        <w:tc>
          <w:tcPr>
            <w:tcW w:w="2835" w:type="dxa"/>
            <w:vAlign w:val="center"/>
          </w:tcPr>
          <w:p>
            <w:pPr>
              <w:pStyle w:val="17"/>
            </w:pPr>
            <w:r>
              <w:t>反映酒店各项工程竣工验收情况.</w:t>
            </w:r>
          </w:p>
        </w:tc>
        <w:tc>
          <w:tcPr>
            <w:tcW w:w="2551" w:type="dxa"/>
            <w:vAlign w:val="center"/>
          </w:tcPr>
          <w:p>
            <w:pPr>
              <w:pStyle w:val="17"/>
            </w:pPr>
            <w:r>
              <w:t>100%</w:t>
            </w:r>
          </w:p>
        </w:tc>
        <w:tc>
          <w:tcPr>
            <w:tcW w:w="2268" w:type="dxa"/>
            <w:vAlign w:val="center"/>
          </w:tcPr>
          <w:p>
            <w:pPr>
              <w:pStyle w:val="17"/>
            </w:pPr>
            <w:r>
              <w:t>根据酒店施工计划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工资福利发放及时性</w:t>
            </w:r>
          </w:p>
        </w:tc>
        <w:tc>
          <w:tcPr>
            <w:tcW w:w="2835" w:type="dxa"/>
            <w:vAlign w:val="center"/>
          </w:tcPr>
          <w:p>
            <w:pPr>
              <w:pStyle w:val="17"/>
            </w:pPr>
            <w:r>
              <w:t>反映工资福利等发放的时效情况.</w:t>
            </w:r>
          </w:p>
        </w:tc>
        <w:tc>
          <w:tcPr>
            <w:tcW w:w="2551" w:type="dxa"/>
            <w:vAlign w:val="center"/>
          </w:tcPr>
          <w:p>
            <w:pPr>
              <w:pStyle w:val="17"/>
            </w:pPr>
            <w:r>
              <w:t>每月10号之前发放</w:t>
            </w:r>
          </w:p>
        </w:tc>
        <w:tc>
          <w:tcPr>
            <w:tcW w:w="2268" w:type="dxa"/>
            <w:vAlign w:val="center"/>
          </w:tcPr>
          <w:p>
            <w:pPr>
              <w:pStyle w:val="17"/>
            </w:pPr>
            <w:r>
              <w:t>根据酒店工资支付规定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项目按计划完工率</w:t>
            </w:r>
          </w:p>
        </w:tc>
        <w:tc>
          <w:tcPr>
            <w:tcW w:w="2835" w:type="dxa"/>
            <w:vAlign w:val="center"/>
          </w:tcPr>
          <w:p>
            <w:pPr>
              <w:pStyle w:val="17"/>
            </w:pPr>
            <w:r>
              <w:t>反映工程按计划完工情况</w:t>
            </w:r>
          </w:p>
        </w:tc>
        <w:tc>
          <w:tcPr>
            <w:tcW w:w="2551" w:type="dxa"/>
            <w:vAlign w:val="center"/>
          </w:tcPr>
          <w:p>
            <w:pPr>
              <w:pStyle w:val="17"/>
            </w:pPr>
            <w:r>
              <w:t>100%</w:t>
            </w:r>
          </w:p>
        </w:tc>
        <w:tc>
          <w:tcPr>
            <w:tcW w:w="2268" w:type="dxa"/>
            <w:vAlign w:val="center"/>
          </w:tcPr>
          <w:p>
            <w:pPr>
              <w:pStyle w:val="17"/>
            </w:pPr>
            <w:r>
              <w:t>根据酒店实施计划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支付借款本金及利息成本</w:t>
            </w:r>
          </w:p>
        </w:tc>
        <w:tc>
          <w:tcPr>
            <w:tcW w:w="2835" w:type="dxa"/>
            <w:vAlign w:val="center"/>
          </w:tcPr>
          <w:p>
            <w:pPr>
              <w:pStyle w:val="17"/>
            </w:pPr>
            <w:r>
              <w:t>反映酒店借款本金及利息偿还情况.</w:t>
            </w:r>
          </w:p>
        </w:tc>
        <w:tc>
          <w:tcPr>
            <w:tcW w:w="2551" w:type="dxa"/>
            <w:vAlign w:val="center"/>
          </w:tcPr>
          <w:p>
            <w:pPr>
              <w:pStyle w:val="17"/>
            </w:pPr>
            <w:r>
              <w:t>≤166万元</w:t>
            </w:r>
          </w:p>
        </w:tc>
        <w:tc>
          <w:tcPr>
            <w:tcW w:w="2268" w:type="dxa"/>
            <w:vAlign w:val="center"/>
          </w:tcPr>
          <w:p>
            <w:pPr>
              <w:pStyle w:val="17"/>
            </w:pPr>
            <w:r>
              <w:t>根据资金支出计划及往年利息支付数据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改造锅炉设备</w:t>
            </w:r>
          </w:p>
        </w:tc>
        <w:tc>
          <w:tcPr>
            <w:tcW w:w="2835" w:type="dxa"/>
            <w:vAlign w:val="center"/>
          </w:tcPr>
          <w:p>
            <w:pPr>
              <w:pStyle w:val="17"/>
            </w:pPr>
            <w:r>
              <w:t>锅炉设备费用.</w:t>
            </w:r>
          </w:p>
        </w:tc>
        <w:tc>
          <w:tcPr>
            <w:tcW w:w="2551" w:type="dxa"/>
            <w:vAlign w:val="center"/>
          </w:tcPr>
          <w:p>
            <w:pPr>
              <w:pStyle w:val="17"/>
            </w:pPr>
            <w:r>
              <w:t>≤60万元</w:t>
            </w:r>
          </w:p>
        </w:tc>
        <w:tc>
          <w:tcPr>
            <w:tcW w:w="2268" w:type="dxa"/>
            <w:vAlign w:val="center"/>
          </w:tcPr>
          <w:p>
            <w:pPr>
              <w:pStyle w:val="17"/>
            </w:pPr>
            <w:r>
              <w:t>根据预算资金计划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创建五叶绿色饭店</w:t>
            </w:r>
          </w:p>
        </w:tc>
        <w:tc>
          <w:tcPr>
            <w:tcW w:w="2835" w:type="dxa"/>
            <w:vAlign w:val="center"/>
          </w:tcPr>
          <w:p>
            <w:pPr>
              <w:pStyle w:val="17"/>
            </w:pPr>
            <w:r>
              <w:t>按照要求对不合格区域进行升级改造费用.</w:t>
            </w:r>
          </w:p>
        </w:tc>
        <w:tc>
          <w:tcPr>
            <w:tcW w:w="2551" w:type="dxa"/>
            <w:vAlign w:val="center"/>
          </w:tcPr>
          <w:p>
            <w:pPr>
              <w:pStyle w:val="17"/>
            </w:pPr>
            <w:r>
              <w:t>≤40万元</w:t>
            </w:r>
          </w:p>
        </w:tc>
        <w:tc>
          <w:tcPr>
            <w:tcW w:w="2268" w:type="dxa"/>
            <w:vAlign w:val="center"/>
          </w:tcPr>
          <w:p>
            <w:pPr>
              <w:pStyle w:val="17"/>
            </w:pPr>
            <w:r>
              <w:t>根据预算资金计划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弥补经费缺口</w:t>
            </w:r>
          </w:p>
        </w:tc>
        <w:tc>
          <w:tcPr>
            <w:tcW w:w="2835" w:type="dxa"/>
            <w:vAlign w:val="center"/>
          </w:tcPr>
          <w:p>
            <w:pPr>
              <w:pStyle w:val="17"/>
            </w:pPr>
            <w:r>
              <w:t>反映在编人员工资及保险发放和缴纳情况.</w:t>
            </w:r>
          </w:p>
        </w:tc>
        <w:tc>
          <w:tcPr>
            <w:tcW w:w="2551" w:type="dxa"/>
            <w:vAlign w:val="center"/>
          </w:tcPr>
          <w:p>
            <w:pPr>
              <w:pStyle w:val="17"/>
            </w:pPr>
            <w:r>
              <w:t>≤230万元</w:t>
            </w:r>
          </w:p>
        </w:tc>
        <w:tc>
          <w:tcPr>
            <w:tcW w:w="2268" w:type="dxa"/>
            <w:vAlign w:val="center"/>
          </w:tcPr>
          <w:p>
            <w:pPr>
              <w:pStyle w:val="17"/>
            </w:pPr>
            <w:r>
              <w:t>根据预算资金计划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生态效益指标</w:t>
            </w:r>
          </w:p>
        </w:tc>
        <w:tc>
          <w:tcPr>
            <w:tcW w:w="2835" w:type="dxa"/>
            <w:vAlign w:val="center"/>
          </w:tcPr>
          <w:p>
            <w:pPr>
              <w:pStyle w:val="17"/>
            </w:pPr>
            <w:r>
              <w:t>节约能源消耗率</w:t>
            </w:r>
          </w:p>
        </w:tc>
        <w:tc>
          <w:tcPr>
            <w:tcW w:w="2835" w:type="dxa"/>
            <w:vAlign w:val="center"/>
          </w:tcPr>
          <w:p>
            <w:pPr>
              <w:pStyle w:val="17"/>
            </w:pPr>
            <w:r>
              <w:t>通过维修和设备更新改造，使能源消耗降低.</w:t>
            </w:r>
          </w:p>
        </w:tc>
        <w:tc>
          <w:tcPr>
            <w:tcW w:w="2551" w:type="dxa"/>
            <w:vAlign w:val="center"/>
          </w:tcPr>
          <w:p>
            <w:pPr>
              <w:pStyle w:val="17"/>
            </w:pPr>
            <w:r>
              <w:t>≥3%</w:t>
            </w:r>
          </w:p>
        </w:tc>
        <w:tc>
          <w:tcPr>
            <w:tcW w:w="2268" w:type="dxa"/>
            <w:vAlign w:val="center"/>
          </w:tcPr>
          <w:p>
            <w:pPr>
              <w:pStyle w:val="17"/>
            </w:pPr>
            <w:r>
              <w:t>根据酒店水电燃气能源消耗的票据及酒店整合的能源消耗表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酒店持续经营</w:t>
            </w:r>
          </w:p>
        </w:tc>
        <w:tc>
          <w:tcPr>
            <w:tcW w:w="2835" w:type="dxa"/>
            <w:vAlign w:val="center"/>
          </w:tcPr>
          <w:p>
            <w:pPr>
              <w:pStyle w:val="17"/>
            </w:pPr>
            <w:r>
              <w:t>改善接待环境，提升服务质量，降低酒店亏损额，使酒店持续经营.</w:t>
            </w:r>
          </w:p>
        </w:tc>
        <w:tc>
          <w:tcPr>
            <w:tcW w:w="2551" w:type="dxa"/>
            <w:vAlign w:val="center"/>
          </w:tcPr>
          <w:p>
            <w:pPr>
              <w:pStyle w:val="17"/>
            </w:pPr>
            <w:r>
              <w:t>持续经营</w:t>
            </w:r>
          </w:p>
        </w:tc>
        <w:tc>
          <w:tcPr>
            <w:tcW w:w="2268" w:type="dxa"/>
            <w:vAlign w:val="center"/>
          </w:tcPr>
          <w:p>
            <w:pPr>
              <w:pStyle w:val="17"/>
            </w:pPr>
            <w:r>
              <w:t>按照酒店经营情况及审计报告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锅炉及溴化锂机组设备使用年限</w:t>
            </w:r>
          </w:p>
        </w:tc>
        <w:tc>
          <w:tcPr>
            <w:tcW w:w="2835" w:type="dxa"/>
            <w:vAlign w:val="center"/>
          </w:tcPr>
          <w:p>
            <w:pPr>
              <w:pStyle w:val="17"/>
            </w:pPr>
            <w:r>
              <w:t>反映设备使用年限情况，设施能够持续使用.</w:t>
            </w:r>
          </w:p>
        </w:tc>
        <w:tc>
          <w:tcPr>
            <w:tcW w:w="2551" w:type="dxa"/>
            <w:vAlign w:val="center"/>
          </w:tcPr>
          <w:p>
            <w:pPr>
              <w:pStyle w:val="17"/>
            </w:pPr>
            <w:r>
              <w:t>≤20年</w:t>
            </w:r>
          </w:p>
        </w:tc>
        <w:tc>
          <w:tcPr>
            <w:tcW w:w="2268" w:type="dxa"/>
            <w:vAlign w:val="center"/>
          </w:tcPr>
          <w:p>
            <w:pPr>
              <w:pStyle w:val="17"/>
            </w:pPr>
            <w:r>
              <w:t>根据税法规定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作为全市政务接待窗口，企业接待满意度95%以上.</w:t>
            </w:r>
          </w:p>
        </w:tc>
        <w:tc>
          <w:tcPr>
            <w:tcW w:w="2551" w:type="dxa"/>
            <w:vAlign w:val="center"/>
          </w:tcPr>
          <w:p>
            <w:pPr>
              <w:pStyle w:val="17"/>
            </w:pPr>
            <w:r>
              <w:t>≥95%</w:t>
            </w:r>
          </w:p>
        </w:tc>
        <w:tc>
          <w:tcPr>
            <w:tcW w:w="2268" w:type="dxa"/>
            <w:vAlign w:val="center"/>
          </w:tcPr>
          <w:p>
            <w:pPr>
              <w:pStyle w:val="17"/>
            </w:pPr>
            <w:r>
              <w:t>根据会议满意度调查问卷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9、廊坊市投资控股集团有限公司增加注册资本金绩效目标表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1.通过严格尽职调查和资产评估，完成经营性资产收购方案进行经营性资产收购</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收购企业数量</w:t>
            </w:r>
          </w:p>
        </w:tc>
        <w:tc>
          <w:tcPr>
            <w:tcW w:w="2835" w:type="dxa"/>
            <w:vAlign w:val="center"/>
          </w:tcPr>
          <w:p>
            <w:pPr>
              <w:pStyle w:val="17"/>
            </w:pPr>
            <w:r>
              <w:t>收购企业数量</w:t>
            </w:r>
          </w:p>
        </w:tc>
        <w:tc>
          <w:tcPr>
            <w:tcW w:w="2551" w:type="dxa"/>
            <w:vAlign w:val="center"/>
          </w:tcPr>
          <w:p>
            <w:pPr>
              <w:pStyle w:val="17"/>
            </w:pPr>
            <w:r>
              <w:t>1家</w:t>
            </w:r>
          </w:p>
        </w:tc>
        <w:tc>
          <w:tcPr>
            <w:tcW w:w="2268" w:type="dxa"/>
            <w:vAlign w:val="center"/>
          </w:tcPr>
          <w:p>
            <w:pPr>
              <w:pStyle w:val="17"/>
            </w:pPr>
            <w:r>
              <w:t>收购方案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收购完成率</w:t>
            </w:r>
          </w:p>
        </w:tc>
        <w:tc>
          <w:tcPr>
            <w:tcW w:w="2835" w:type="dxa"/>
            <w:vAlign w:val="center"/>
          </w:tcPr>
          <w:p>
            <w:pPr>
              <w:pStyle w:val="17"/>
            </w:pPr>
            <w:r>
              <w:t>收购完成率</w:t>
            </w:r>
          </w:p>
        </w:tc>
        <w:tc>
          <w:tcPr>
            <w:tcW w:w="2551" w:type="dxa"/>
            <w:vAlign w:val="center"/>
          </w:tcPr>
          <w:p>
            <w:pPr>
              <w:pStyle w:val="17"/>
            </w:pPr>
            <w:r>
              <w:t>100%</w:t>
            </w:r>
          </w:p>
        </w:tc>
        <w:tc>
          <w:tcPr>
            <w:tcW w:w="2268" w:type="dxa"/>
            <w:vAlign w:val="center"/>
          </w:tcPr>
          <w:p>
            <w:pPr>
              <w:pStyle w:val="17"/>
            </w:pPr>
            <w:r>
              <w:t>法律尽职调查报告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收购时间</w:t>
            </w:r>
          </w:p>
        </w:tc>
        <w:tc>
          <w:tcPr>
            <w:tcW w:w="2835" w:type="dxa"/>
            <w:vAlign w:val="center"/>
          </w:tcPr>
          <w:p>
            <w:pPr>
              <w:pStyle w:val="17"/>
            </w:pPr>
            <w:r>
              <w:t>收购企业具体完成时间</w:t>
            </w:r>
          </w:p>
        </w:tc>
        <w:tc>
          <w:tcPr>
            <w:tcW w:w="2551" w:type="dxa"/>
            <w:vAlign w:val="center"/>
          </w:tcPr>
          <w:p>
            <w:pPr>
              <w:pStyle w:val="17"/>
            </w:pPr>
            <w:r>
              <w:t>2023. 10.31</w:t>
            </w:r>
          </w:p>
        </w:tc>
        <w:tc>
          <w:tcPr>
            <w:tcW w:w="2268" w:type="dxa"/>
            <w:vAlign w:val="center"/>
          </w:tcPr>
          <w:p>
            <w:pPr>
              <w:pStyle w:val="17"/>
            </w:pPr>
            <w:r>
              <w:t>资产或股权交割日期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增加注册资本金成本</w:t>
            </w:r>
          </w:p>
        </w:tc>
        <w:tc>
          <w:tcPr>
            <w:tcW w:w="2835" w:type="dxa"/>
            <w:vAlign w:val="center"/>
          </w:tcPr>
          <w:p>
            <w:pPr>
              <w:pStyle w:val="17"/>
            </w:pPr>
            <w:r>
              <w:t>按照廊坊市土地出让金基准地价征收</w:t>
            </w:r>
          </w:p>
        </w:tc>
        <w:tc>
          <w:tcPr>
            <w:tcW w:w="2551" w:type="dxa"/>
            <w:vAlign w:val="center"/>
          </w:tcPr>
          <w:p>
            <w:pPr>
              <w:pStyle w:val="17"/>
            </w:pPr>
            <w:r>
              <w:t>200万元</w:t>
            </w:r>
          </w:p>
        </w:tc>
        <w:tc>
          <w:tcPr>
            <w:tcW w:w="2268" w:type="dxa"/>
            <w:vAlign w:val="center"/>
          </w:tcPr>
          <w:p>
            <w:pPr>
              <w:pStyle w:val="17"/>
            </w:pPr>
            <w:r>
              <w:t>根据预算数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增加企业经营资产板块</w:t>
            </w:r>
          </w:p>
        </w:tc>
        <w:tc>
          <w:tcPr>
            <w:tcW w:w="2835" w:type="dxa"/>
            <w:vAlign w:val="center"/>
          </w:tcPr>
          <w:p>
            <w:pPr>
              <w:pStyle w:val="17"/>
            </w:pPr>
            <w:r>
              <w:t>国有资产运营稳定</w:t>
            </w:r>
          </w:p>
        </w:tc>
        <w:tc>
          <w:tcPr>
            <w:tcW w:w="2551" w:type="dxa"/>
            <w:vAlign w:val="center"/>
          </w:tcPr>
          <w:p>
            <w:pPr>
              <w:pStyle w:val="17"/>
            </w:pPr>
            <w:r>
              <w:t>企业稳定发展</w:t>
            </w:r>
          </w:p>
        </w:tc>
        <w:tc>
          <w:tcPr>
            <w:tcW w:w="2268" w:type="dxa"/>
            <w:vAlign w:val="center"/>
          </w:tcPr>
          <w:p>
            <w:pPr>
              <w:pStyle w:val="17"/>
            </w:pPr>
            <w:r>
              <w:t>企业运行情况说明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反映接受资金企业满意情况</w:t>
            </w:r>
          </w:p>
        </w:tc>
        <w:tc>
          <w:tcPr>
            <w:tcW w:w="2551" w:type="dxa"/>
            <w:vAlign w:val="center"/>
          </w:tcPr>
          <w:p>
            <w:pPr>
              <w:pStyle w:val="17"/>
            </w:pPr>
            <w:r>
              <w:t>≥95%</w:t>
            </w:r>
          </w:p>
        </w:tc>
        <w:tc>
          <w:tcPr>
            <w:tcW w:w="2268" w:type="dxa"/>
            <w:vAlign w:val="center"/>
          </w:tcPr>
          <w:p>
            <w:pPr>
              <w:pStyle w:val="17"/>
              <w:rPr>
                <w:rFonts w:hint="eastAsia" w:eastAsia="方正书宋_GBK"/>
                <w:lang w:eastAsia="zh-CN"/>
              </w:rPr>
            </w:pPr>
            <w:r>
              <w:t>问卷调</w:t>
            </w:r>
            <w:r>
              <w:rPr>
                <w:rFonts w:hint="eastAsia"/>
                <w:lang w:eastAsia="zh-CN"/>
              </w:rPr>
              <w:t>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10、廊坊市物产企业集团有限公司解决历史遗留问题资金绩效目标表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1.完成集团在册职工欠缴养老保险的补缴工作，解决历史遗留问题，集团稳定发展和效益提升。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欠缴养老保险职工数量　</w:t>
            </w:r>
          </w:p>
        </w:tc>
        <w:tc>
          <w:tcPr>
            <w:tcW w:w="2835" w:type="dxa"/>
            <w:vAlign w:val="center"/>
          </w:tcPr>
          <w:p>
            <w:pPr>
              <w:pStyle w:val="17"/>
            </w:pPr>
            <w:r>
              <w:t>缴纳保险金人员数</w:t>
            </w:r>
          </w:p>
        </w:tc>
        <w:tc>
          <w:tcPr>
            <w:tcW w:w="2551" w:type="dxa"/>
            <w:vAlign w:val="center"/>
          </w:tcPr>
          <w:p>
            <w:pPr>
              <w:pStyle w:val="17"/>
            </w:pPr>
            <w:r>
              <w:t>≤85人次</w:t>
            </w:r>
          </w:p>
        </w:tc>
        <w:tc>
          <w:tcPr>
            <w:tcW w:w="2268" w:type="dxa"/>
            <w:vAlign w:val="center"/>
          </w:tcPr>
          <w:p>
            <w:pPr>
              <w:pStyle w:val="17"/>
            </w:pPr>
            <w:r>
              <w:t>企业花名册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上缴率</w:t>
            </w:r>
          </w:p>
        </w:tc>
        <w:tc>
          <w:tcPr>
            <w:tcW w:w="2835" w:type="dxa"/>
            <w:vAlign w:val="center"/>
          </w:tcPr>
          <w:p>
            <w:pPr>
              <w:pStyle w:val="17"/>
            </w:pPr>
            <w:r>
              <w:t>补缴人数与欠缴人数之比</w:t>
            </w:r>
          </w:p>
        </w:tc>
        <w:tc>
          <w:tcPr>
            <w:tcW w:w="2551" w:type="dxa"/>
            <w:vAlign w:val="center"/>
          </w:tcPr>
          <w:p>
            <w:pPr>
              <w:pStyle w:val="17"/>
            </w:pPr>
            <w:r>
              <w:t>≤100%</w:t>
            </w:r>
          </w:p>
        </w:tc>
        <w:tc>
          <w:tcPr>
            <w:tcW w:w="2268" w:type="dxa"/>
            <w:vAlign w:val="center"/>
          </w:tcPr>
          <w:p>
            <w:pPr>
              <w:pStyle w:val="17"/>
            </w:pPr>
            <w:r>
              <w:t>企业花名册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上缴及时性</w:t>
            </w:r>
          </w:p>
        </w:tc>
        <w:tc>
          <w:tcPr>
            <w:tcW w:w="2835" w:type="dxa"/>
            <w:vAlign w:val="center"/>
          </w:tcPr>
          <w:p>
            <w:pPr>
              <w:pStyle w:val="17"/>
            </w:pPr>
            <w:r>
              <w:t>社保中心备案登记欠缴时间</w:t>
            </w:r>
          </w:p>
        </w:tc>
        <w:tc>
          <w:tcPr>
            <w:tcW w:w="2551" w:type="dxa"/>
            <w:vAlign w:val="center"/>
          </w:tcPr>
          <w:p>
            <w:pPr>
              <w:pStyle w:val="17"/>
            </w:pPr>
            <w:r>
              <w:t>及时上缴</w:t>
            </w:r>
          </w:p>
        </w:tc>
        <w:tc>
          <w:tcPr>
            <w:tcW w:w="2268" w:type="dxa"/>
            <w:vAlign w:val="center"/>
          </w:tcPr>
          <w:p>
            <w:pPr>
              <w:pStyle w:val="17"/>
            </w:pPr>
            <w:r>
              <w:t>缴纳保险费单据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缴纳欠款标准</w:t>
            </w:r>
          </w:p>
        </w:tc>
        <w:tc>
          <w:tcPr>
            <w:tcW w:w="2835" w:type="dxa"/>
            <w:vAlign w:val="center"/>
          </w:tcPr>
          <w:p>
            <w:pPr>
              <w:pStyle w:val="17"/>
            </w:pPr>
            <w:r>
              <w:t>社保中心缴费标准</w:t>
            </w:r>
          </w:p>
        </w:tc>
        <w:tc>
          <w:tcPr>
            <w:tcW w:w="2551" w:type="dxa"/>
            <w:vAlign w:val="center"/>
          </w:tcPr>
          <w:p>
            <w:pPr>
              <w:pStyle w:val="17"/>
            </w:pPr>
            <w:r>
              <w:t>≤260万元</w:t>
            </w:r>
          </w:p>
        </w:tc>
        <w:tc>
          <w:tcPr>
            <w:tcW w:w="2268" w:type="dxa"/>
            <w:vAlign w:val="center"/>
          </w:tcPr>
          <w:p>
            <w:pPr>
              <w:pStyle w:val="17"/>
            </w:pPr>
            <w:r>
              <w:t>社保中心缴费标准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减少上访率</w:t>
            </w:r>
          </w:p>
        </w:tc>
        <w:tc>
          <w:tcPr>
            <w:tcW w:w="2835" w:type="dxa"/>
            <w:vAlign w:val="center"/>
          </w:tcPr>
          <w:p>
            <w:pPr>
              <w:pStyle w:val="17"/>
            </w:pPr>
            <w:r>
              <w:t>不发生上访</w:t>
            </w:r>
          </w:p>
        </w:tc>
        <w:tc>
          <w:tcPr>
            <w:tcW w:w="2551" w:type="dxa"/>
            <w:vAlign w:val="center"/>
          </w:tcPr>
          <w:p>
            <w:pPr>
              <w:pStyle w:val="17"/>
            </w:pPr>
            <w:r>
              <w:t>0人次</w:t>
            </w:r>
          </w:p>
        </w:tc>
        <w:tc>
          <w:tcPr>
            <w:tcW w:w="2268" w:type="dxa"/>
            <w:vAlign w:val="center"/>
          </w:tcPr>
          <w:p>
            <w:pPr>
              <w:pStyle w:val="17"/>
            </w:pPr>
            <w:r>
              <w:t>上级信访部门记录情况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职工满意度</w:t>
            </w:r>
          </w:p>
        </w:tc>
        <w:tc>
          <w:tcPr>
            <w:tcW w:w="2835" w:type="dxa"/>
            <w:vAlign w:val="center"/>
          </w:tcPr>
          <w:p>
            <w:pPr>
              <w:pStyle w:val="17"/>
            </w:pPr>
            <w:r>
              <w:t>职工满意程度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11、企业发展促进专项经费绩效目标表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 通过此项目的完成，做到按时完成6名在职人员、2名退休人员统筹外工资、1名遗属人员补助发放，维护职工稳定和社会稳定。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企业发展促进专项经费发放在职补贴人数</w:t>
            </w:r>
          </w:p>
        </w:tc>
        <w:tc>
          <w:tcPr>
            <w:tcW w:w="2835" w:type="dxa"/>
            <w:vAlign w:val="center"/>
          </w:tcPr>
          <w:p>
            <w:pPr>
              <w:pStyle w:val="17"/>
            </w:pPr>
            <w:r>
              <w:t>考察企业发展促进专项经费发放在职补贴人数情况</w:t>
            </w:r>
          </w:p>
        </w:tc>
        <w:tc>
          <w:tcPr>
            <w:tcW w:w="2551" w:type="dxa"/>
            <w:vAlign w:val="center"/>
          </w:tcPr>
          <w:p>
            <w:pPr>
              <w:pStyle w:val="17"/>
            </w:pPr>
            <w:r>
              <w:t>≤6名</w:t>
            </w:r>
          </w:p>
        </w:tc>
        <w:tc>
          <w:tcPr>
            <w:tcW w:w="2268" w:type="dxa"/>
            <w:vAlign w:val="center"/>
          </w:tcPr>
          <w:p>
            <w:pPr>
              <w:pStyle w:val="17"/>
            </w:pPr>
            <w:r>
              <w:t>企业发展促进中心在职人员花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企业发展促进专项经费发放补贴退休人数</w:t>
            </w:r>
          </w:p>
        </w:tc>
        <w:tc>
          <w:tcPr>
            <w:tcW w:w="2835" w:type="dxa"/>
            <w:vAlign w:val="center"/>
          </w:tcPr>
          <w:p>
            <w:pPr>
              <w:pStyle w:val="17"/>
            </w:pPr>
            <w:r>
              <w:t>考察企业发展促进专项经费发放补贴退休人数情况</w:t>
            </w:r>
          </w:p>
        </w:tc>
        <w:tc>
          <w:tcPr>
            <w:tcW w:w="2551" w:type="dxa"/>
            <w:vAlign w:val="center"/>
          </w:tcPr>
          <w:p>
            <w:pPr>
              <w:pStyle w:val="17"/>
            </w:pPr>
            <w:r>
              <w:t>2名</w:t>
            </w:r>
          </w:p>
        </w:tc>
        <w:tc>
          <w:tcPr>
            <w:tcW w:w="2268" w:type="dxa"/>
            <w:vAlign w:val="center"/>
          </w:tcPr>
          <w:p>
            <w:pPr>
              <w:pStyle w:val="17"/>
            </w:pPr>
            <w:r>
              <w:t>企业发展促进中心退休人员花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企业发展促进专项经费发放补贴遗属人数</w:t>
            </w:r>
          </w:p>
        </w:tc>
        <w:tc>
          <w:tcPr>
            <w:tcW w:w="2835" w:type="dxa"/>
            <w:vAlign w:val="center"/>
          </w:tcPr>
          <w:p>
            <w:pPr>
              <w:pStyle w:val="17"/>
            </w:pPr>
            <w:r>
              <w:t>考察企业发展促进专项经费发放补贴遗属人数情况</w:t>
            </w:r>
          </w:p>
        </w:tc>
        <w:tc>
          <w:tcPr>
            <w:tcW w:w="2551" w:type="dxa"/>
            <w:vAlign w:val="center"/>
          </w:tcPr>
          <w:p>
            <w:pPr>
              <w:pStyle w:val="17"/>
            </w:pPr>
            <w:r>
              <w:t>1名</w:t>
            </w:r>
          </w:p>
        </w:tc>
        <w:tc>
          <w:tcPr>
            <w:tcW w:w="2268" w:type="dxa"/>
            <w:vAlign w:val="center"/>
          </w:tcPr>
          <w:p>
            <w:pPr>
              <w:pStyle w:val="17"/>
            </w:pPr>
            <w:r>
              <w:t>企业发展促进中心遗属人员花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应补尽补率</w:t>
            </w:r>
          </w:p>
        </w:tc>
        <w:tc>
          <w:tcPr>
            <w:tcW w:w="2835" w:type="dxa"/>
            <w:vAlign w:val="center"/>
          </w:tcPr>
          <w:p>
            <w:pPr>
              <w:pStyle w:val="17"/>
            </w:pPr>
            <w:r>
              <w:t>考察企业发展促进专项经费补贴发放情况</w:t>
            </w:r>
          </w:p>
        </w:tc>
        <w:tc>
          <w:tcPr>
            <w:tcW w:w="2551" w:type="dxa"/>
            <w:vAlign w:val="center"/>
          </w:tcPr>
          <w:p>
            <w:pPr>
              <w:pStyle w:val="17"/>
            </w:pPr>
            <w:r>
              <w:t>100%</w:t>
            </w:r>
          </w:p>
        </w:tc>
        <w:tc>
          <w:tcPr>
            <w:tcW w:w="2268" w:type="dxa"/>
            <w:vAlign w:val="center"/>
          </w:tcPr>
          <w:p>
            <w:pPr>
              <w:pStyle w:val="17"/>
            </w:pPr>
            <w:r>
              <w:t>企业发展中心人员发放花名册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发放工作时间</w:t>
            </w:r>
          </w:p>
        </w:tc>
        <w:tc>
          <w:tcPr>
            <w:tcW w:w="2835" w:type="dxa"/>
            <w:vAlign w:val="center"/>
          </w:tcPr>
          <w:p>
            <w:pPr>
              <w:pStyle w:val="17"/>
            </w:pPr>
            <w:r>
              <w:t>发放工作时间</w:t>
            </w:r>
          </w:p>
        </w:tc>
        <w:tc>
          <w:tcPr>
            <w:tcW w:w="2551" w:type="dxa"/>
            <w:vAlign w:val="center"/>
          </w:tcPr>
          <w:p>
            <w:pPr>
              <w:pStyle w:val="17"/>
            </w:pPr>
            <w:r>
              <w:t>按月发放</w:t>
            </w:r>
          </w:p>
        </w:tc>
        <w:tc>
          <w:tcPr>
            <w:tcW w:w="2268" w:type="dxa"/>
            <w:vAlign w:val="center"/>
          </w:tcPr>
          <w:p>
            <w:pPr>
              <w:pStyle w:val="17"/>
            </w:pPr>
            <w:r>
              <w:t>企业发展中心人员发放花名册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在职人员人均补贴额</w:t>
            </w:r>
          </w:p>
        </w:tc>
        <w:tc>
          <w:tcPr>
            <w:tcW w:w="2835" w:type="dxa"/>
            <w:vAlign w:val="center"/>
          </w:tcPr>
          <w:p>
            <w:pPr>
              <w:pStyle w:val="17"/>
            </w:pPr>
            <w:r>
              <w:t>在职人员人均补贴额</w:t>
            </w:r>
          </w:p>
        </w:tc>
        <w:tc>
          <w:tcPr>
            <w:tcW w:w="2551" w:type="dxa"/>
            <w:vAlign w:val="center"/>
          </w:tcPr>
          <w:p>
            <w:pPr>
              <w:pStyle w:val="17"/>
            </w:pPr>
            <w:r>
              <w:t>≤12.8万元</w:t>
            </w:r>
          </w:p>
        </w:tc>
        <w:tc>
          <w:tcPr>
            <w:tcW w:w="2268" w:type="dxa"/>
            <w:vAlign w:val="center"/>
          </w:tcPr>
          <w:p>
            <w:pPr>
              <w:pStyle w:val="17"/>
            </w:pPr>
            <w:r>
              <w:t>企业发展中心人员发放花名册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企业发展促进中心人员对经费发放满意度</w:t>
            </w:r>
          </w:p>
        </w:tc>
        <w:tc>
          <w:tcPr>
            <w:tcW w:w="2835" w:type="dxa"/>
            <w:vAlign w:val="center"/>
          </w:tcPr>
          <w:p>
            <w:pPr>
              <w:pStyle w:val="17"/>
            </w:pPr>
            <w:r>
              <w:t>企业发展促进中心人员对经费发放满意度</w:t>
            </w:r>
          </w:p>
        </w:tc>
        <w:tc>
          <w:tcPr>
            <w:tcW w:w="2551" w:type="dxa"/>
            <w:vAlign w:val="center"/>
          </w:tcPr>
          <w:p>
            <w:pPr>
              <w:pStyle w:val="17"/>
            </w:pPr>
            <w:r>
              <w:t>≥95%</w:t>
            </w:r>
          </w:p>
        </w:tc>
        <w:tc>
          <w:tcPr>
            <w:tcW w:w="2268" w:type="dxa"/>
            <w:vAlign w:val="center"/>
          </w:tcPr>
          <w:p>
            <w:pPr>
              <w:pStyle w:val="17"/>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12、全域公交化改造项目资金绩效目标表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1.1、开通廊坊至永清公交线路，运营线路2条，满足人民群众的公交出行需求。</w:t>
            </w:r>
          </w:p>
          <w:p>
            <w:pPr>
              <w:pStyle w:val="17"/>
            </w:pPr>
            <w:r>
              <w:t>2、完成部分域内充电设施建设，预计增加变压器2台，充电桩12台。</w:t>
            </w:r>
          </w:p>
          <w:p>
            <w:pPr>
              <w:pStyle w:val="17"/>
            </w:pPr>
          </w:p>
          <w:p>
            <w:pPr>
              <w:pStyle w:val="17"/>
            </w:pPr>
            <w:r>
              <w:t>3、完成部分域内基础设施建设。</w:t>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充电桩</w:t>
            </w:r>
          </w:p>
        </w:tc>
        <w:tc>
          <w:tcPr>
            <w:tcW w:w="2835" w:type="dxa"/>
            <w:vAlign w:val="center"/>
          </w:tcPr>
          <w:p>
            <w:pPr>
              <w:pStyle w:val="17"/>
            </w:pPr>
            <w:r>
              <w:t>建设充电桩</w:t>
            </w:r>
          </w:p>
        </w:tc>
        <w:tc>
          <w:tcPr>
            <w:tcW w:w="2551" w:type="dxa"/>
            <w:vAlign w:val="center"/>
          </w:tcPr>
          <w:p>
            <w:pPr>
              <w:pStyle w:val="17"/>
            </w:pPr>
            <w:r>
              <w:t>12个</w:t>
            </w:r>
          </w:p>
        </w:tc>
        <w:tc>
          <w:tcPr>
            <w:tcW w:w="2268" w:type="dxa"/>
            <w:vAlign w:val="center"/>
          </w:tcPr>
          <w:p>
            <w:pPr>
              <w:pStyle w:val="17"/>
            </w:pPr>
            <w:r>
              <w:t>验收报告或者购入凭证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变压器</w:t>
            </w:r>
          </w:p>
        </w:tc>
        <w:tc>
          <w:tcPr>
            <w:tcW w:w="2835" w:type="dxa"/>
            <w:vAlign w:val="center"/>
          </w:tcPr>
          <w:p>
            <w:pPr>
              <w:pStyle w:val="17"/>
            </w:pPr>
            <w:r>
              <w:t>安装变压器数量</w:t>
            </w:r>
          </w:p>
        </w:tc>
        <w:tc>
          <w:tcPr>
            <w:tcW w:w="2551" w:type="dxa"/>
            <w:vAlign w:val="center"/>
          </w:tcPr>
          <w:p>
            <w:pPr>
              <w:pStyle w:val="17"/>
            </w:pPr>
            <w:r>
              <w:t>2个</w:t>
            </w:r>
          </w:p>
        </w:tc>
        <w:tc>
          <w:tcPr>
            <w:tcW w:w="2268" w:type="dxa"/>
            <w:vAlign w:val="center"/>
          </w:tcPr>
          <w:p>
            <w:pPr>
              <w:pStyle w:val="17"/>
            </w:pPr>
            <w:r>
              <w:t>验收报告或者购入凭证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路面硬化</w:t>
            </w:r>
          </w:p>
        </w:tc>
        <w:tc>
          <w:tcPr>
            <w:tcW w:w="2835" w:type="dxa"/>
            <w:vAlign w:val="center"/>
          </w:tcPr>
          <w:p>
            <w:pPr>
              <w:pStyle w:val="17"/>
            </w:pPr>
            <w:r>
              <w:t>路面硬化</w:t>
            </w:r>
          </w:p>
        </w:tc>
        <w:tc>
          <w:tcPr>
            <w:tcW w:w="2551" w:type="dxa"/>
            <w:vAlign w:val="center"/>
          </w:tcPr>
          <w:p>
            <w:pPr>
              <w:pStyle w:val="17"/>
            </w:pPr>
            <w:r>
              <w:t>≥1600平米</w:t>
            </w:r>
          </w:p>
        </w:tc>
        <w:tc>
          <w:tcPr>
            <w:tcW w:w="2268" w:type="dxa"/>
            <w:vAlign w:val="center"/>
          </w:tcPr>
          <w:p>
            <w:pPr>
              <w:pStyle w:val="17"/>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充电桩验收合格率</w:t>
            </w:r>
          </w:p>
        </w:tc>
        <w:tc>
          <w:tcPr>
            <w:tcW w:w="2835" w:type="dxa"/>
            <w:vAlign w:val="center"/>
          </w:tcPr>
          <w:p>
            <w:pPr>
              <w:pStyle w:val="17"/>
            </w:pPr>
            <w:r>
              <w:t>充电桩验收合格率</w:t>
            </w:r>
          </w:p>
        </w:tc>
        <w:tc>
          <w:tcPr>
            <w:tcW w:w="2551" w:type="dxa"/>
            <w:vAlign w:val="center"/>
          </w:tcPr>
          <w:p>
            <w:pPr>
              <w:pStyle w:val="17"/>
            </w:pPr>
            <w:r>
              <w:t>100%</w:t>
            </w:r>
          </w:p>
        </w:tc>
        <w:tc>
          <w:tcPr>
            <w:tcW w:w="2268" w:type="dxa"/>
            <w:vAlign w:val="center"/>
          </w:tcPr>
          <w:p>
            <w:pPr>
              <w:pStyle w:val="17"/>
            </w:pPr>
            <w:r>
              <w:t>验收报告或设备使用说明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变压器安装完成时间</w:t>
            </w:r>
          </w:p>
        </w:tc>
        <w:tc>
          <w:tcPr>
            <w:tcW w:w="2835" w:type="dxa"/>
            <w:vAlign w:val="center"/>
          </w:tcPr>
          <w:p>
            <w:pPr>
              <w:pStyle w:val="17"/>
            </w:pPr>
            <w:r>
              <w:t>完成时间</w:t>
            </w:r>
          </w:p>
        </w:tc>
        <w:tc>
          <w:tcPr>
            <w:tcW w:w="2551" w:type="dxa"/>
            <w:vAlign w:val="center"/>
          </w:tcPr>
          <w:p>
            <w:pPr>
              <w:pStyle w:val="17"/>
            </w:pPr>
            <w:r>
              <w:t>6月份前完成</w:t>
            </w:r>
          </w:p>
        </w:tc>
        <w:tc>
          <w:tcPr>
            <w:tcW w:w="2268" w:type="dxa"/>
            <w:vAlign w:val="center"/>
          </w:tcPr>
          <w:p>
            <w:pPr>
              <w:pStyle w:val="17"/>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充电桩安装成本</w:t>
            </w:r>
          </w:p>
        </w:tc>
        <w:tc>
          <w:tcPr>
            <w:tcW w:w="2835" w:type="dxa"/>
            <w:vAlign w:val="center"/>
          </w:tcPr>
          <w:p>
            <w:pPr>
              <w:pStyle w:val="17"/>
            </w:pPr>
            <w:r>
              <w:t>每个充电桩安装成本</w:t>
            </w:r>
          </w:p>
        </w:tc>
        <w:tc>
          <w:tcPr>
            <w:tcW w:w="2551" w:type="dxa"/>
            <w:vAlign w:val="center"/>
          </w:tcPr>
          <w:p>
            <w:pPr>
              <w:pStyle w:val="17"/>
            </w:pPr>
            <w:r>
              <w:t>≤6.7万元</w:t>
            </w:r>
          </w:p>
        </w:tc>
        <w:tc>
          <w:tcPr>
            <w:tcW w:w="2268" w:type="dxa"/>
            <w:vAlign w:val="center"/>
          </w:tcPr>
          <w:p>
            <w:pPr>
              <w:pStyle w:val="17"/>
            </w:pPr>
            <w:r>
              <w:t>购入凭证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变压器</w:t>
            </w:r>
          </w:p>
        </w:tc>
        <w:tc>
          <w:tcPr>
            <w:tcW w:w="2835" w:type="dxa"/>
            <w:vAlign w:val="center"/>
          </w:tcPr>
          <w:p>
            <w:pPr>
              <w:pStyle w:val="17"/>
            </w:pPr>
            <w:r>
              <w:t>安装变压器</w:t>
            </w:r>
          </w:p>
        </w:tc>
        <w:tc>
          <w:tcPr>
            <w:tcW w:w="2551" w:type="dxa"/>
            <w:vAlign w:val="center"/>
          </w:tcPr>
          <w:p>
            <w:pPr>
              <w:pStyle w:val="17"/>
            </w:pPr>
            <w:r>
              <w:t>≤60万元</w:t>
            </w:r>
          </w:p>
        </w:tc>
        <w:tc>
          <w:tcPr>
            <w:tcW w:w="2268" w:type="dxa"/>
            <w:vAlign w:val="center"/>
          </w:tcPr>
          <w:p>
            <w:pPr>
              <w:pStyle w:val="17"/>
            </w:pPr>
            <w:r>
              <w:t>发票或者合同或者验收报告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路面硬化</w:t>
            </w:r>
          </w:p>
        </w:tc>
        <w:tc>
          <w:tcPr>
            <w:tcW w:w="2835" w:type="dxa"/>
            <w:vAlign w:val="center"/>
          </w:tcPr>
          <w:p>
            <w:pPr>
              <w:pStyle w:val="17"/>
            </w:pPr>
            <w:r>
              <w:t>路面硬化每平米单价</w:t>
            </w:r>
          </w:p>
        </w:tc>
        <w:tc>
          <w:tcPr>
            <w:tcW w:w="2551" w:type="dxa"/>
            <w:vAlign w:val="center"/>
          </w:tcPr>
          <w:p>
            <w:pPr>
              <w:pStyle w:val="17"/>
            </w:pPr>
            <w:r>
              <w:t>≤250元/平米</w:t>
            </w:r>
          </w:p>
        </w:tc>
        <w:tc>
          <w:tcPr>
            <w:tcW w:w="2268" w:type="dxa"/>
            <w:vAlign w:val="center"/>
          </w:tcPr>
          <w:p>
            <w:pPr>
              <w:pStyle w:val="17"/>
            </w:pPr>
            <w:r>
              <w:t>发票或者合同或者验收报告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社会效益</w:t>
            </w:r>
          </w:p>
        </w:tc>
        <w:tc>
          <w:tcPr>
            <w:tcW w:w="2835" w:type="dxa"/>
            <w:vAlign w:val="center"/>
          </w:tcPr>
          <w:p>
            <w:pPr>
              <w:pStyle w:val="17"/>
            </w:pPr>
            <w:r>
              <w:t>提升居民出行方便程度，促进协同发展</w:t>
            </w:r>
          </w:p>
        </w:tc>
        <w:tc>
          <w:tcPr>
            <w:tcW w:w="2551" w:type="dxa"/>
            <w:vAlign w:val="center"/>
          </w:tcPr>
          <w:p>
            <w:pPr>
              <w:pStyle w:val="17"/>
            </w:pPr>
            <w:r>
              <w:t>提升</w:t>
            </w:r>
          </w:p>
        </w:tc>
        <w:tc>
          <w:tcPr>
            <w:tcW w:w="2268"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收入增长率</w:t>
            </w:r>
          </w:p>
        </w:tc>
        <w:tc>
          <w:tcPr>
            <w:tcW w:w="2835" w:type="dxa"/>
            <w:vAlign w:val="center"/>
          </w:tcPr>
          <w:p>
            <w:pPr>
              <w:pStyle w:val="17"/>
            </w:pPr>
            <w:r>
              <w:t>增加公司收入，增加人财物流动，带动市域内经济发展</w:t>
            </w:r>
          </w:p>
        </w:tc>
        <w:tc>
          <w:tcPr>
            <w:tcW w:w="2551" w:type="dxa"/>
            <w:vAlign w:val="center"/>
          </w:tcPr>
          <w:p>
            <w:pPr>
              <w:pStyle w:val="17"/>
            </w:pPr>
            <w:r>
              <w:t>≥60%</w:t>
            </w:r>
          </w:p>
        </w:tc>
        <w:tc>
          <w:tcPr>
            <w:tcW w:w="2268" w:type="dxa"/>
            <w:vAlign w:val="center"/>
          </w:tcPr>
          <w:p>
            <w:pPr>
              <w:pStyle w:val="17"/>
            </w:pPr>
            <w:r>
              <w:t>年终报表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绿色环保出行</w:t>
            </w:r>
          </w:p>
        </w:tc>
        <w:tc>
          <w:tcPr>
            <w:tcW w:w="2835" w:type="dxa"/>
            <w:vAlign w:val="center"/>
          </w:tcPr>
          <w:p>
            <w:pPr>
              <w:pStyle w:val="17"/>
            </w:pPr>
            <w:r>
              <w:t>减少污染排放</w:t>
            </w:r>
          </w:p>
        </w:tc>
        <w:tc>
          <w:tcPr>
            <w:tcW w:w="2551" w:type="dxa"/>
            <w:vAlign w:val="center"/>
          </w:tcPr>
          <w:p>
            <w:pPr>
              <w:pStyle w:val="17"/>
            </w:pPr>
            <w:r>
              <w:t>减少</w:t>
            </w:r>
          </w:p>
        </w:tc>
        <w:tc>
          <w:tcPr>
            <w:tcW w:w="2268"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可持续影响</w:t>
            </w:r>
          </w:p>
        </w:tc>
        <w:tc>
          <w:tcPr>
            <w:tcW w:w="2835" w:type="dxa"/>
            <w:vAlign w:val="center"/>
          </w:tcPr>
          <w:p>
            <w:pPr>
              <w:pStyle w:val="17"/>
            </w:pPr>
            <w:r>
              <w:t>减少居民出行等待时间。增加社会就业。为其他县域开通起了示范作用</w:t>
            </w:r>
          </w:p>
        </w:tc>
        <w:tc>
          <w:tcPr>
            <w:tcW w:w="2551" w:type="dxa"/>
            <w:vAlign w:val="center"/>
          </w:tcPr>
          <w:p>
            <w:pPr>
              <w:pStyle w:val="17"/>
            </w:pPr>
            <w:r>
              <w:t>减少</w:t>
            </w:r>
          </w:p>
        </w:tc>
        <w:tc>
          <w:tcPr>
            <w:tcW w:w="2268"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居民对公交车运营满意程度</w:t>
            </w:r>
          </w:p>
        </w:tc>
        <w:tc>
          <w:tcPr>
            <w:tcW w:w="2551" w:type="dxa"/>
            <w:vAlign w:val="center"/>
          </w:tcPr>
          <w:p>
            <w:pPr>
              <w:pStyle w:val="17"/>
            </w:pPr>
            <w:r>
              <w:t>≥96%</w:t>
            </w:r>
          </w:p>
        </w:tc>
        <w:tc>
          <w:tcPr>
            <w:tcW w:w="2268" w:type="dxa"/>
            <w:vAlign w:val="center"/>
          </w:tcPr>
          <w:p>
            <w:pPr>
              <w:pStyle w:val="17"/>
            </w:pPr>
            <w:r>
              <w:t>调查问卷</w:t>
            </w:r>
          </w:p>
        </w:tc>
      </w:tr>
    </w:tbl>
    <w:p>
      <w:pPr>
        <w:pStyle w:val="32"/>
        <w:spacing w:line="2" w:lineRule="exact"/>
        <w:jc w:val="center"/>
      </w:pPr>
    </w:p>
    <w:p>
      <w:pPr>
        <w:pStyle w:val="32"/>
      </w:pPr>
    </w:p>
    <w:p>
      <w:pPr>
        <w:pStyle w:val="32"/>
        <w:spacing w:line="2" w:lineRule="exact"/>
        <w:jc w:val="cente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00" w:lineRule="exact"/>
        <w:ind w:firstLine="560"/>
        <w:rPr>
          <w:rFonts w:ascii="Times New Roman" w:hAnsi="Times New Roman" w:eastAsia="仿宋_GB2312" w:cs="Times New Roman"/>
          <w:sz w:val="32"/>
          <w:szCs w:val="24"/>
        </w:rPr>
      </w:pPr>
      <w:bookmarkStart w:id="0" w:name="_Toc471398468"/>
      <w:r>
        <w:rPr>
          <w:rFonts w:ascii="Times New Roman" w:hAnsi="Times New Roman" w:eastAsia="仿宋_GB2312" w:cs="Times New Roman"/>
          <w:sz w:val="32"/>
          <w:szCs w:val="24"/>
        </w:rPr>
        <w:t>2023年，廊坊市人民政府国有资产监督管理委员会本级安排政府采购预算30.00万元。具体内容见下表。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24"/>
            </w:pPr>
            <w:r>
              <w:t>731001廊坊市人民政府国有资产监督管理委员会本级</w:t>
            </w:r>
          </w:p>
        </w:tc>
        <w:tc>
          <w:tcPr>
            <w:tcW w:w="8674" w:type="dxa"/>
            <w:gridSpan w:val="9"/>
            <w:tcBorders>
              <w:top w:val="single" w:color="FFFFFF" w:sz="6" w:space="0"/>
              <w:left w:val="single" w:color="FFFFFF" w:sz="6" w:space="0"/>
              <w:right w:val="single" w:color="FFFFFF" w:sz="6" w:space="0"/>
            </w:tcBorders>
            <w:vAlign w:val="center"/>
          </w:tcPr>
          <w:p>
            <w:pPr>
              <w:pStyle w:val="3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30.00</w:t>
            </w:r>
          </w:p>
        </w:tc>
        <w:tc>
          <w:tcPr>
            <w:tcW w:w="964" w:type="dxa"/>
            <w:vAlign w:val="center"/>
          </w:tcPr>
          <w:p>
            <w:pPr>
              <w:pStyle w:val="20"/>
            </w:pPr>
            <w:r>
              <w:t>30.00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廊坊市人民政府国有资产监督管理委员会本级小计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30.00</w:t>
            </w:r>
          </w:p>
        </w:tc>
        <w:tc>
          <w:tcPr>
            <w:tcW w:w="964" w:type="dxa"/>
            <w:vAlign w:val="center"/>
          </w:tcPr>
          <w:p>
            <w:pPr>
              <w:pStyle w:val="20"/>
            </w:pPr>
            <w:r>
              <w:t>30.00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国资监管运行经费</w:t>
            </w:r>
          </w:p>
        </w:tc>
        <w:tc>
          <w:tcPr>
            <w:tcW w:w="964" w:type="dxa"/>
            <w:vAlign w:val="center"/>
          </w:tcPr>
          <w:p>
            <w:pPr>
              <w:pStyle w:val="16"/>
            </w:pPr>
            <w:r>
              <w:t>80.00</w:t>
            </w:r>
          </w:p>
        </w:tc>
        <w:tc>
          <w:tcPr>
            <w:tcW w:w="1134" w:type="dxa"/>
            <w:vAlign w:val="center"/>
          </w:tcPr>
          <w:p>
            <w:pPr>
              <w:pStyle w:val="17"/>
            </w:pPr>
            <w:r>
              <w:t>其他服务</w:t>
            </w:r>
          </w:p>
        </w:tc>
        <w:tc>
          <w:tcPr>
            <w:tcW w:w="1134" w:type="dxa"/>
            <w:vAlign w:val="center"/>
          </w:tcPr>
          <w:p>
            <w:pPr>
              <w:pStyle w:val="17"/>
            </w:pPr>
            <w:r>
              <w:t>C99000000</w:t>
            </w:r>
          </w:p>
        </w:tc>
        <w:tc>
          <w:tcPr>
            <w:tcW w:w="709" w:type="dxa"/>
            <w:vAlign w:val="center"/>
          </w:tcPr>
          <w:p>
            <w:pPr>
              <w:pStyle w:val="18"/>
            </w:pPr>
            <w:r>
              <w:t>次</w:t>
            </w:r>
          </w:p>
        </w:tc>
        <w:tc>
          <w:tcPr>
            <w:tcW w:w="850" w:type="dxa"/>
            <w:vAlign w:val="center"/>
          </w:tcPr>
          <w:p>
            <w:pPr>
              <w:pStyle w:val="16"/>
            </w:pPr>
            <w:r>
              <w:t>1</w:t>
            </w:r>
          </w:p>
        </w:tc>
        <w:tc>
          <w:tcPr>
            <w:tcW w:w="850" w:type="dxa"/>
            <w:vAlign w:val="center"/>
          </w:tcPr>
          <w:p>
            <w:pPr>
              <w:pStyle w:val="16"/>
            </w:pPr>
            <w:r>
              <w:t>30.00</w:t>
            </w:r>
          </w:p>
        </w:tc>
        <w:tc>
          <w:tcPr>
            <w:tcW w:w="964" w:type="dxa"/>
            <w:vAlign w:val="center"/>
          </w:tcPr>
          <w:p>
            <w:pPr>
              <w:pStyle w:val="16"/>
            </w:pPr>
            <w:r>
              <w:t>30.00</w:t>
            </w:r>
          </w:p>
        </w:tc>
        <w:tc>
          <w:tcPr>
            <w:tcW w:w="964" w:type="dxa"/>
            <w:vAlign w:val="center"/>
          </w:tcPr>
          <w:p>
            <w:pPr>
              <w:pStyle w:val="16"/>
            </w:pPr>
            <w:r>
              <w:t>30.00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30.00</w:t>
            </w:r>
          </w:p>
        </w:tc>
      </w:tr>
    </w:tbl>
    <w:p>
      <w:pPr>
        <w:spacing w:line="500" w:lineRule="exact"/>
        <w:ind w:firstLine="420"/>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spacing w:line="584" w:lineRule="exact"/>
        <w:ind w:firstLine="640" w:firstLineChars="200"/>
        <w:outlineLvl w:val="0"/>
        <w:rPr>
          <w:rFonts w:ascii="Times New Roman" w:hAnsi="Times New Roman" w:eastAsia="仿宋_GB2312" w:cs="Times New Roman"/>
          <w:sz w:val="32"/>
          <w:szCs w:val="24"/>
        </w:rPr>
      </w:pPr>
    </w:p>
    <w:bookmarkEnd w:id="0"/>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廊坊市人民政府国有资产监督管理委员会</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2124.51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总额为0.00万元，已按要求列入政府采购预算，详见政府采购预算表</w:t>
      </w:r>
      <w:r>
        <w:rPr>
          <w:rFonts w:ascii="Times New Roman" w:hAnsi="Times New Roman" w:eastAsia="仿宋_GB2312" w:cs="Times New Roman"/>
          <w:sz w:val="32"/>
          <w:szCs w:val="32"/>
        </w:rPr>
        <w:t>。</w:t>
      </w:r>
    </w:p>
    <w:p>
      <w:pPr>
        <w:jc w:val="center"/>
      </w:pPr>
      <w:r>
        <w:rPr>
          <w:rFonts w:hint="eastAsia" w:ascii="方正小标宋_GBK" w:hAnsi="方正小标宋_GBK" w:eastAsia="方正小标宋_GBK" w:cs="方正小标宋_GBK"/>
          <w:color w:val="000000"/>
          <w:sz w:val="36"/>
        </w:rPr>
        <w:t>单位</w:t>
      </w:r>
      <w:r>
        <w:rPr>
          <w:rFonts w:ascii="方正小标宋_GBK" w:hAnsi="方正小标宋_GBK" w:eastAsia="方正小标宋_GBK" w:cs="方正小标宋_GBK"/>
          <w:color w:val="000000"/>
          <w:sz w:val="36"/>
        </w:rPr>
        <w:t>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24"/>
              <w:rPr>
                <w:lang w:eastAsia="zh-CN"/>
              </w:rPr>
            </w:pPr>
            <w:r>
              <w:t>731</w:t>
            </w:r>
            <w:r>
              <w:rPr>
                <w:rFonts w:hint="eastAsia"/>
                <w:lang w:eastAsia="zh-CN"/>
              </w:rPr>
              <w:t>001</w:t>
            </w:r>
            <w:r>
              <w:t>廊坊市人民政府国有资产监督管理委员会</w:t>
            </w:r>
            <w:r>
              <w:rPr>
                <w:rFonts w:hint="eastAsia"/>
                <w:lang w:eastAsia="zh-CN"/>
              </w:rPr>
              <w:t>本级</w:t>
            </w:r>
          </w:p>
        </w:tc>
        <w:tc>
          <w:tcPr>
            <w:tcW w:w="5669" w:type="dxa"/>
            <w:gridSpan w:val="2"/>
            <w:tcBorders>
              <w:top w:val="single" w:color="FFFFFF" w:sz="6" w:space="0"/>
              <w:left w:val="single" w:color="FFFFFF" w:sz="6" w:space="0"/>
              <w:right w:val="single" w:color="FFFFFF" w:sz="6" w:space="0"/>
            </w:tcBorders>
            <w:vAlign w:val="center"/>
          </w:tcPr>
          <w:p>
            <w:pPr>
              <w:pStyle w:val="2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rPr>
                <w:rFonts w:hint="eastAsia"/>
              </w:rPr>
              <w:t>资产总额</w:t>
            </w:r>
          </w:p>
        </w:tc>
        <w:tc>
          <w:tcPr>
            <w:tcW w:w="2835" w:type="dxa"/>
            <w:vAlign w:val="center"/>
          </w:tcPr>
          <w:p>
            <w:pPr>
              <w:pStyle w:val="18"/>
            </w:pPr>
          </w:p>
        </w:tc>
        <w:tc>
          <w:tcPr>
            <w:tcW w:w="2835" w:type="dxa"/>
            <w:vAlign w:val="center"/>
          </w:tcPr>
          <w:p>
            <w:pPr>
              <w:pStyle w:val="16"/>
              <w:rPr>
                <w:rFonts w:eastAsiaTheme="minorEastAsia"/>
                <w:lang w:eastAsia="zh-CN"/>
              </w:rPr>
            </w:pPr>
            <w:r>
              <w:rPr>
                <w:rFonts w:hint="eastAsia" w:eastAsiaTheme="minorEastAsia"/>
                <w:lang w:eastAsia="zh-CN"/>
              </w:rPr>
              <w:t>2124.51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1</w:t>
            </w:r>
            <w:r>
              <w:rPr>
                <w:rFonts w:hint="eastAsia"/>
              </w:rPr>
              <w:t>、房屋（平方米）</w:t>
            </w:r>
          </w:p>
        </w:tc>
        <w:tc>
          <w:tcPr>
            <w:tcW w:w="2835" w:type="dxa"/>
            <w:vAlign w:val="center"/>
          </w:tcPr>
          <w:p>
            <w:pPr>
              <w:pStyle w:val="18"/>
              <w:rPr>
                <w:rFonts w:eastAsiaTheme="minorEastAsia"/>
                <w:lang w:eastAsia="zh-CN"/>
              </w:rPr>
            </w:pPr>
            <w:r>
              <w:rPr>
                <w:rFonts w:hint="eastAsia" w:eastAsiaTheme="minorEastAsia"/>
                <w:lang w:eastAsia="zh-CN"/>
              </w:rPr>
              <w:t>6917</w:t>
            </w:r>
          </w:p>
        </w:tc>
        <w:tc>
          <w:tcPr>
            <w:tcW w:w="2835" w:type="dxa"/>
            <w:vAlign w:val="center"/>
          </w:tcPr>
          <w:p>
            <w:pPr>
              <w:pStyle w:val="16"/>
              <w:rPr>
                <w:rFonts w:eastAsiaTheme="minorEastAsia"/>
                <w:lang w:eastAsia="zh-CN"/>
              </w:rPr>
            </w:pPr>
            <w:r>
              <w:rPr>
                <w:rFonts w:hint="eastAsia" w:eastAsiaTheme="minorEastAsia"/>
                <w:lang w:eastAsia="zh-CN"/>
              </w:rPr>
              <w:t>1986.04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rPr>
                <w:rFonts w:hint="eastAsia"/>
              </w:rPr>
              <w:t>其中：办公用房（平方米）</w:t>
            </w:r>
          </w:p>
        </w:tc>
        <w:tc>
          <w:tcPr>
            <w:tcW w:w="2835" w:type="dxa"/>
            <w:vAlign w:val="center"/>
          </w:tcPr>
          <w:p>
            <w:pPr>
              <w:pStyle w:val="18"/>
              <w:rPr>
                <w:rFonts w:eastAsiaTheme="minorEastAsia"/>
                <w:lang w:eastAsia="zh-CN"/>
              </w:rPr>
            </w:pPr>
            <w:r>
              <w:rPr>
                <w:rFonts w:hint="eastAsia" w:eastAsiaTheme="minorEastAsia"/>
                <w:lang w:eastAsia="zh-CN"/>
              </w:rPr>
              <w:t>6917</w:t>
            </w:r>
          </w:p>
        </w:tc>
        <w:tc>
          <w:tcPr>
            <w:tcW w:w="2835" w:type="dxa"/>
            <w:vAlign w:val="center"/>
          </w:tcPr>
          <w:p>
            <w:pPr>
              <w:pStyle w:val="16"/>
              <w:rPr>
                <w:rFonts w:eastAsiaTheme="minorEastAsia"/>
                <w:lang w:eastAsia="zh-CN"/>
              </w:rPr>
            </w:pPr>
            <w:r>
              <w:rPr>
                <w:rFonts w:hint="eastAsia" w:eastAsiaTheme="minorEastAsia"/>
                <w:lang w:eastAsia="zh-CN"/>
              </w:rPr>
              <w:t>1986.04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w:t>
            </w:r>
            <w:r>
              <w:rPr>
                <w:rFonts w:hint="eastAsia"/>
              </w:rPr>
              <w:t>、车辆（台、辆）</w:t>
            </w:r>
          </w:p>
        </w:tc>
        <w:tc>
          <w:tcPr>
            <w:tcW w:w="2835" w:type="dxa"/>
            <w:vAlign w:val="center"/>
          </w:tcPr>
          <w:p>
            <w:pPr>
              <w:pStyle w:val="18"/>
              <w:rPr>
                <w:rFonts w:eastAsiaTheme="minorEastAsia"/>
                <w:lang w:eastAsia="zh-CN"/>
              </w:rPr>
            </w:pPr>
            <w:r>
              <w:rPr>
                <w:rFonts w:hint="eastAsia" w:eastAsiaTheme="minorEastAsia"/>
                <w:lang w:eastAsia="zh-CN"/>
              </w:rPr>
              <w:t>5</w:t>
            </w:r>
          </w:p>
        </w:tc>
        <w:tc>
          <w:tcPr>
            <w:tcW w:w="2835" w:type="dxa"/>
            <w:vAlign w:val="center"/>
          </w:tcPr>
          <w:p>
            <w:pPr>
              <w:pStyle w:val="16"/>
              <w:rPr>
                <w:rFonts w:eastAsiaTheme="minorEastAsia"/>
                <w:lang w:eastAsia="zh-CN"/>
              </w:rPr>
            </w:pPr>
            <w:r>
              <w:rPr>
                <w:rFonts w:hint="eastAsia" w:eastAsiaTheme="minor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w:t>
            </w:r>
            <w:r>
              <w:rPr>
                <w:rFonts w:hint="eastAsia"/>
              </w:rPr>
              <w:t>、单价在</w:t>
            </w:r>
            <w:r>
              <w:t>20</w:t>
            </w:r>
            <w:r>
              <w:rPr>
                <w:rFonts w:hint="eastAsia"/>
              </w:rPr>
              <w:t>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4</w:t>
            </w:r>
            <w:r>
              <w:rPr>
                <w:rFonts w:hint="eastAsia"/>
              </w:rPr>
              <w:t>、其他固定资产</w:t>
            </w:r>
          </w:p>
        </w:tc>
        <w:tc>
          <w:tcPr>
            <w:tcW w:w="2835" w:type="dxa"/>
            <w:vAlign w:val="center"/>
          </w:tcPr>
          <w:p>
            <w:pPr>
              <w:pStyle w:val="18"/>
              <w:rPr>
                <w:rFonts w:eastAsiaTheme="minorEastAsia"/>
                <w:lang w:eastAsia="zh-CN"/>
              </w:rPr>
            </w:pPr>
            <w:r>
              <w:rPr>
                <w:rFonts w:hint="eastAsia" w:eastAsiaTheme="minorEastAsia"/>
                <w:lang w:eastAsia="zh-CN"/>
              </w:rPr>
              <w:t>903</w:t>
            </w:r>
          </w:p>
        </w:tc>
        <w:tc>
          <w:tcPr>
            <w:tcW w:w="2835" w:type="dxa"/>
            <w:vAlign w:val="center"/>
          </w:tcPr>
          <w:p>
            <w:pPr>
              <w:pStyle w:val="16"/>
              <w:rPr>
                <w:rFonts w:eastAsiaTheme="minorEastAsia"/>
                <w:lang w:eastAsia="zh-CN"/>
              </w:rPr>
            </w:pPr>
            <w:r>
              <w:rPr>
                <w:rFonts w:hint="eastAsia" w:eastAsiaTheme="minorEastAsia"/>
                <w:lang w:eastAsia="zh-CN"/>
              </w:rPr>
              <w:t>138.47</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我部门无其他需要说明的事项。</w:t>
      </w:r>
      <w:r>
        <w:rPr>
          <w:rFonts w:hint="eastAsia" w:ascii="Times New Roman" w:hAnsi="Times New Roman" w:eastAsia="仿宋_GB2312" w:cs="Times New Roman"/>
          <w:sz w:val="32"/>
          <w:szCs w:val="32"/>
          <w:lang w:val="en-US" w:eastAsia="zh-CN"/>
        </w:rPr>
        <w:t xml:space="preserve"> </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仿宋_GBK">
    <w:altName w:val="黑体"/>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w:t>
    </w:r>
    <w:r>
      <w:fldChar w:fldCharType="begin"/>
    </w:r>
    <w:r>
      <w:instrText xml:space="preserve">PAGE   \* MERGEFORMAT</w:instrText>
    </w:r>
    <w:r>
      <w:fldChar w:fldCharType="separate"/>
    </w:r>
    <w:r>
      <w:rPr>
        <w:lang w:val="zh-CN"/>
      </w:rPr>
      <w:t>34</w:t>
    </w:r>
    <w:r>
      <w:rPr>
        <w:lang w:val="zh-CN"/>
      </w:rPr>
      <w:fldChar w:fldCharType="end"/>
    </w:r>
    <w:r>
      <w:rPr>
        <w:rFonts w:hint="eastAsia"/>
      </w:rPr>
      <w:t>-</w:t>
    </w:r>
  </w:p>
  <w:p>
    <w:pPr>
      <w:pStyle w:val="4"/>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hZWI4Y2U3NzY1YjFiZmY4N2QxNWQ2YmFiZTQxYzkifQ=="/>
  </w:docVars>
  <w:rsids>
    <w:rsidRoot w:val="00D347CC"/>
    <w:rsid w:val="0002259C"/>
    <w:rsid w:val="000230E6"/>
    <w:rsid w:val="00051ED9"/>
    <w:rsid w:val="000B0087"/>
    <w:rsid w:val="000C5D4C"/>
    <w:rsid w:val="00103FF7"/>
    <w:rsid w:val="00141A29"/>
    <w:rsid w:val="0019264E"/>
    <w:rsid w:val="001A46A4"/>
    <w:rsid w:val="001E2B89"/>
    <w:rsid w:val="001F5424"/>
    <w:rsid w:val="0025632D"/>
    <w:rsid w:val="002A58CF"/>
    <w:rsid w:val="002C6347"/>
    <w:rsid w:val="00312330"/>
    <w:rsid w:val="0034037A"/>
    <w:rsid w:val="00361688"/>
    <w:rsid w:val="0036341A"/>
    <w:rsid w:val="003A4136"/>
    <w:rsid w:val="004A54AA"/>
    <w:rsid w:val="005D1D20"/>
    <w:rsid w:val="005D2D11"/>
    <w:rsid w:val="005D3423"/>
    <w:rsid w:val="006220EE"/>
    <w:rsid w:val="00646527"/>
    <w:rsid w:val="00695035"/>
    <w:rsid w:val="006C5E98"/>
    <w:rsid w:val="00765BA4"/>
    <w:rsid w:val="007E09BD"/>
    <w:rsid w:val="007F1ABF"/>
    <w:rsid w:val="00812C20"/>
    <w:rsid w:val="00812E9B"/>
    <w:rsid w:val="009032C0"/>
    <w:rsid w:val="00944233"/>
    <w:rsid w:val="009B28BF"/>
    <w:rsid w:val="009C6B59"/>
    <w:rsid w:val="00AC186C"/>
    <w:rsid w:val="00B02D39"/>
    <w:rsid w:val="00B15C22"/>
    <w:rsid w:val="00B22832"/>
    <w:rsid w:val="00B40732"/>
    <w:rsid w:val="00B80935"/>
    <w:rsid w:val="00BA72F9"/>
    <w:rsid w:val="00BB52BB"/>
    <w:rsid w:val="00BF169B"/>
    <w:rsid w:val="00C033A1"/>
    <w:rsid w:val="00CA2F70"/>
    <w:rsid w:val="00D274CB"/>
    <w:rsid w:val="00D347CC"/>
    <w:rsid w:val="00D85647"/>
    <w:rsid w:val="00D86D63"/>
    <w:rsid w:val="00DD2B17"/>
    <w:rsid w:val="00E7076D"/>
    <w:rsid w:val="00E74A8B"/>
    <w:rsid w:val="00EC0CC2"/>
    <w:rsid w:val="00F45FFB"/>
    <w:rsid w:val="00F7319A"/>
    <w:rsid w:val="00F76BEE"/>
    <w:rsid w:val="139847FB"/>
    <w:rsid w:val="300E56B6"/>
    <w:rsid w:val="59A509B2"/>
    <w:rsid w:val="68B47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widowControl/>
      <w:ind w:left="480"/>
      <w:jc w:val="left"/>
    </w:pPr>
    <w:rPr>
      <w:rFonts w:ascii="Times New Roman" w:hAnsi="Times New Roman" w:eastAsia="Times New Roman" w:cs="Times New Roman"/>
      <w:kern w:val="0"/>
      <w:sz w:val="24"/>
      <w:szCs w:val="24"/>
      <w:lang w:eastAsia="uk-UA"/>
    </w:rPr>
  </w:style>
  <w:style w:type="paragraph" w:styleId="3">
    <w:name w:val="Balloon Text"/>
    <w:basedOn w:val="1"/>
    <w:qFormat/>
    <w:uiPriority w:val="0"/>
    <w:rPr>
      <w:sz w:val="18"/>
      <w:szCs w:val="18"/>
    </w:rPr>
  </w:style>
  <w:style w:type="paragraph" w:styleId="4">
    <w:name w:val="footer"/>
    <w:basedOn w:val="1"/>
    <w:link w:val="46"/>
    <w:autoRedefine/>
    <w:uiPriority w:val="99"/>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link w:val="45"/>
    <w:autoRedefine/>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6">
    <w:name w:val="toc 1"/>
    <w:basedOn w:val="1"/>
    <w:next w:val="1"/>
    <w:autoRedefine/>
    <w:qFormat/>
    <w:uiPriority w:val="0"/>
    <w:rPr>
      <w:rFonts w:ascii="Times New Roman" w:hAnsi="Times New Roman" w:cs="Times New Roman"/>
      <w:szCs w:val="24"/>
    </w:rPr>
  </w:style>
  <w:style w:type="paragraph" w:styleId="7">
    <w:name w:val="toc 4"/>
    <w:basedOn w:val="1"/>
    <w:autoRedefine/>
    <w:qFormat/>
    <w:uiPriority w:val="0"/>
    <w:pPr>
      <w:widowControl/>
      <w:ind w:left="720"/>
      <w:jc w:val="left"/>
    </w:pPr>
    <w:rPr>
      <w:rFonts w:ascii="Times New Roman" w:hAnsi="Times New Roman" w:eastAsia="Times New Roman" w:cs="Times New Roman"/>
      <w:kern w:val="0"/>
      <w:sz w:val="24"/>
      <w:szCs w:val="24"/>
      <w:lang w:eastAsia="uk-UA"/>
    </w:rPr>
  </w:style>
  <w:style w:type="paragraph" w:styleId="8">
    <w:name w:val="footnote text"/>
    <w:basedOn w:val="1"/>
    <w:autoRedefine/>
    <w:qFormat/>
    <w:uiPriority w:val="0"/>
    <w:pPr>
      <w:snapToGrid w:val="0"/>
      <w:jc w:val="left"/>
    </w:pPr>
    <w:rPr>
      <w:rFonts w:cs="Times New Roman"/>
      <w:sz w:val="18"/>
      <w:szCs w:val="18"/>
    </w:rPr>
  </w:style>
  <w:style w:type="paragraph" w:styleId="9">
    <w:name w:val="toc 2"/>
    <w:basedOn w:val="1"/>
    <w:next w:val="1"/>
    <w:autoRedefine/>
    <w:qFormat/>
    <w:uiPriority w:val="0"/>
    <w:pPr>
      <w:ind w:left="200" w:leftChars="200"/>
    </w:pPr>
    <w:rPr>
      <w:rFonts w:ascii="Times New Roman" w:hAnsi="Times New Roman" w:cs="Times New Roman"/>
      <w:szCs w:val="24"/>
    </w:rPr>
  </w:style>
  <w:style w:type="table" w:styleId="11">
    <w:name w:val="Table Grid"/>
    <w:basedOn w:val="10"/>
    <w:autoRedefine/>
    <w:qFormat/>
    <w:uiPriority w:val="0"/>
    <w:rPr>
      <w:rFonts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footnote reference"/>
    <w:qFormat/>
    <w:uiPriority w:val="0"/>
    <w:rPr>
      <w:vertAlign w:val="superscript"/>
    </w:rPr>
  </w:style>
  <w:style w:type="paragraph" w:customStyle="1" w:styleId="14">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6">
    <w:name w:val="单元格样式4"/>
    <w:basedOn w:val="1"/>
    <w:autoRedefine/>
    <w:qFormat/>
    <w:uiPriority w:val="0"/>
    <w:pPr>
      <w:widowControl/>
      <w:jc w:val="right"/>
    </w:pPr>
    <w:rPr>
      <w:rFonts w:ascii="方正书宋_GBK" w:hAnsi="方正书宋_GBK" w:eastAsia="方正书宋_GBK" w:cs="方正书宋_GBK"/>
      <w:kern w:val="0"/>
      <w:szCs w:val="24"/>
      <w:lang w:eastAsia="uk-UA"/>
    </w:rPr>
  </w:style>
  <w:style w:type="paragraph" w:customStyle="1" w:styleId="17">
    <w:name w:val="单元格样式2"/>
    <w:basedOn w:val="1"/>
    <w:autoRedefine/>
    <w:qFormat/>
    <w:uiPriority w:val="0"/>
    <w:pPr>
      <w:widowControl/>
      <w:jc w:val="left"/>
    </w:pPr>
    <w:rPr>
      <w:rFonts w:ascii="方正书宋_GBK" w:hAnsi="方正书宋_GBK" w:eastAsia="方正书宋_GBK" w:cs="方正书宋_GBK"/>
      <w:kern w:val="0"/>
      <w:szCs w:val="24"/>
      <w:lang w:eastAsia="uk-UA"/>
    </w:rPr>
  </w:style>
  <w:style w:type="paragraph" w:customStyle="1" w:styleId="18">
    <w:name w:val="单元格样式3"/>
    <w:basedOn w:val="1"/>
    <w:autoRedefine/>
    <w:qFormat/>
    <w:uiPriority w:val="0"/>
    <w:pPr>
      <w:widowControl/>
      <w:jc w:val="center"/>
    </w:pPr>
    <w:rPr>
      <w:rFonts w:ascii="方正书宋_GBK" w:hAnsi="方正书宋_GBK" w:eastAsia="方正书宋_GBK" w:cs="方正书宋_GBK"/>
      <w:kern w:val="0"/>
      <w:szCs w:val="24"/>
      <w:lang w:eastAsia="uk-UA"/>
    </w:rPr>
  </w:style>
  <w:style w:type="paragraph" w:customStyle="1" w:styleId="19">
    <w:name w:val="单元格样式6"/>
    <w:basedOn w:val="1"/>
    <w:autoRedefine/>
    <w:qFormat/>
    <w:uiPriority w:val="0"/>
    <w:pPr>
      <w:widowControl/>
      <w:jc w:val="center"/>
    </w:pPr>
    <w:rPr>
      <w:rFonts w:ascii="方正书宋_GBK" w:hAnsi="方正书宋_GBK" w:eastAsia="方正书宋_GBK" w:cs="方正书宋_GBK"/>
      <w:b/>
      <w:kern w:val="0"/>
      <w:szCs w:val="24"/>
      <w:lang w:eastAsia="uk-UA"/>
    </w:rPr>
  </w:style>
  <w:style w:type="paragraph" w:customStyle="1" w:styleId="20">
    <w:name w:val="单元格样式7"/>
    <w:basedOn w:val="1"/>
    <w:autoRedefine/>
    <w:qFormat/>
    <w:uiPriority w:val="0"/>
    <w:pPr>
      <w:widowControl/>
      <w:jc w:val="right"/>
    </w:pPr>
    <w:rPr>
      <w:rFonts w:ascii="方正书宋_GBK" w:hAnsi="方正书宋_GBK" w:eastAsia="方正书宋_GBK" w:cs="方正书宋_GBK"/>
      <w:b/>
      <w:kern w:val="0"/>
      <w:szCs w:val="24"/>
      <w:lang w:eastAsia="uk-UA"/>
    </w:rPr>
  </w:style>
  <w:style w:type="paragraph" w:customStyle="1" w:styleId="21">
    <w:name w:val="单元格样式5"/>
    <w:basedOn w:val="1"/>
    <w:autoRedefine/>
    <w:qFormat/>
    <w:uiPriority w:val="0"/>
    <w:pPr>
      <w:widowControl/>
      <w:jc w:val="left"/>
    </w:pPr>
    <w:rPr>
      <w:rFonts w:ascii="方正书宋_GBK" w:hAnsi="方正书宋_GBK" w:eastAsia="方正书宋_GBK" w:cs="方正书宋_GBK"/>
      <w:b/>
      <w:kern w:val="0"/>
      <w:szCs w:val="24"/>
      <w:lang w:eastAsia="uk-UA"/>
    </w:rPr>
  </w:style>
  <w:style w:type="paragraph" w:customStyle="1" w:styleId="22">
    <w:name w:val="单元格样式22"/>
    <w:basedOn w:val="1"/>
    <w:autoRedefine/>
    <w:qFormat/>
    <w:uiPriority w:val="0"/>
    <w:pPr>
      <w:widowControl/>
      <w:jc w:val="right"/>
    </w:pPr>
    <w:rPr>
      <w:rFonts w:ascii="方正小标宋_GBK" w:hAnsi="方正小标宋_GBK" w:eastAsia="方正小标宋_GBK" w:cs="方正小标宋_GBK"/>
      <w:kern w:val="0"/>
      <w:sz w:val="24"/>
      <w:szCs w:val="24"/>
      <w:lang w:eastAsia="uk-UA"/>
    </w:rPr>
  </w:style>
  <w:style w:type="paragraph" w:customStyle="1" w:styleId="23">
    <w:name w:val="单元格样式21"/>
    <w:basedOn w:val="1"/>
    <w:autoRedefine/>
    <w:qFormat/>
    <w:uiPriority w:val="0"/>
    <w:pPr>
      <w:widowControl/>
      <w:jc w:val="center"/>
    </w:pPr>
    <w:rPr>
      <w:rFonts w:ascii="方正小标宋_GBK" w:hAnsi="方正小标宋_GBK" w:eastAsia="方正小标宋_GBK" w:cs="方正小标宋_GBK"/>
      <w:kern w:val="0"/>
      <w:sz w:val="24"/>
      <w:szCs w:val="24"/>
      <w:lang w:eastAsia="uk-UA"/>
    </w:rPr>
  </w:style>
  <w:style w:type="paragraph" w:customStyle="1" w:styleId="24">
    <w:name w:val="单元格样式20"/>
    <w:basedOn w:val="1"/>
    <w:autoRedefine/>
    <w:qFormat/>
    <w:uiPriority w:val="0"/>
    <w:pPr>
      <w:widowControl/>
      <w:jc w:val="left"/>
    </w:pPr>
    <w:rPr>
      <w:rFonts w:ascii="方正小标宋_GBK" w:hAnsi="方正小标宋_GBK" w:eastAsia="方正小标宋_GBK" w:cs="方正小标宋_GBK"/>
      <w:kern w:val="0"/>
      <w:sz w:val="24"/>
      <w:szCs w:val="24"/>
      <w:lang w:eastAsia="uk-UA"/>
    </w:rPr>
  </w:style>
  <w:style w:type="paragraph" w:customStyle="1" w:styleId="25">
    <w:name w:val="插入文本样式-插入部门职责文件"/>
    <w:basedOn w:val="1"/>
    <w:autoRedefine/>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6">
    <w:name w:val="插入文本样式-插入预算公开部门预算安排的总体情况文件"/>
    <w:basedOn w:val="1"/>
    <w:autoRedefine/>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7">
    <w:name w:val="插入文本样式-插入预算公开部门机关运行经费安排情况文件"/>
    <w:basedOn w:val="1"/>
    <w:autoRedefine/>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8">
    <w:name w:val="插入文本样式-插入预算公开部门财政拨款三公经费预算情况及增减变化原因文件"/>
    <w:basedOn w:val="1"/>
    <w:autoRedefine/>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9">
    <w:name w:val="插入文本样式-插入总体目标文件"/>
    <w:basedOn w:val="1"/>
    <w:autoRedefine/>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30">
    <w:name w:val="插入文本样式-插入职责分类绩效目标文件"/>
    <w:basedOn w:val="1"/>
    <w:autoRedefine/>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31">
    <w:name w:val="插入文本样式-插入实现年度发展规划目标的保障措施文件"/>
    <w:basedOn w:val="1"/>
    <w:autoRedefine/>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32">
    <w:name w:val="Normal_311911ff-6986-4e13-9822-e75ecb823dff"/>
    <w:autoRedefine/>
    <w:qFormat/>
    <w:uiPriority w:val="0"/>
    <w:rPr>
      <w:rFonts w:ascii="Times New Roman" w:hAnsi="Times New Roman" w:eastAsia="Times New Roman" w:cs="Times New Roman"/>
      <w:sz w:val="24"/>
      <w:szCs w:val="24"/>
      <w:lang w:val="en-US" w:eastAsia="uk-UA" w:bidi="ar-SA"/>
    </w:rPr>
  </w:style>
  <w:style w:type="paragraph" w:customStyle="1" w:styleId="33">
    <w:name w:val="单元格样式1_9b7d6ad4-3184-4548-b501-aea28389251c"/>
    <w:basedOn w:val="1"/>
    <w:autoRedefine/>
    <w:qFormat/>
    <w:uiPriority w:val="0"/>
    <w:pPr>
      <w:widowControl/>
      <w:jc w:val="center"/>
    </w:pPr>
    <w:rPr>
      <w:rFonts w:ascii="方正书宋_GBK" w:hAnsi="方正书宋_GBK" w:eastAsia="方正书宋_GBK" w:cs="方正书宋_GBK"/>
      <w:b/>
      <w:kern w:val="0"/>
      <w:szCs w:val="24"/>
      <w:lang w:eastAsia="uk-UA"/>
    </w:rPr>
  </w:style>
  <w:style w:type="paragraph" w:customStyle="1" w:styleId="34">
    <w:name w:val="单元格样式2_0280ee57-576b-4c4c-9ac4-850f8606b69a"/>
    <w:basedOn w:val="1"/>
    <w:autoRedefine/>
    <w:qFormat/>
    <w:uiPriority w:val="0"/>
    <w:pPr>
      <w:widowControl/>
      <w:jc w:val="left"/>
    </w:pPr>
    <w:rPr>
      <w:rFonts w:ascii="方正书宋_GBK" w:hAnsi="方正书宋_GBK" w:eastAsia="方正书宋_GBK" w:cs="方正书宋_GBK"/>
      <w:kern w:val="0"/>
      <w:szCs w:val="24"/>
      <w:lang w:eastAsia="uk-UA"/>
    </w:rPr>
  </w:style>
  <w:style w:type="paragraph" w:customStyle="1" w:styleId="35">
    <w:name w:val="单元格样式3_c3bee285-5dbd-4cc0-8988-bcc00a9a112a"/>
    <w:basedOn w:val="1"/>
    <w:autoRedefine/>
    <w:qFormat/>
    <w:uiPriority w:val="0"/>
    <w:pPr>
      <w:widowControl/>
      <w:jc w:val="center"/>
    </w:pPr>
    <w:rPr>
      <w:rFonts w:ascii="方正书宋_GBK" w:hAnsi="方正书宋_GBK" w:eastAsia="方正书宋_GBK" w:cs="方正书宋_GBK"/>
      <w:kern w:val="0"/>
      <w:szCs w:val="24"/>
      <w:lang w:eastAsia="uk-UA"/>
    </w:rPr>
  </w:style>
  <w:style w:type="paragraph" w:customStyle="1" w:styleId="36">
    <w:name w:val="单元格样式23"/>
    <w:basedOn w:val="1"/>
    <w:autoRedefine/>
    <w:qFormat/>
    <w:uiPriority w:val="0"/>
    <w:pPr>
      <w:widowControl/>
      <w:jc w:val="right"/>
    </w:pPr>
    <w:rPr>
      <w:rFonts w:ascii="方正书宋_GBK" w:hAnsi="方正书宋_GBK" w:eastAsia="方正书宋_GBK" w:cs="方正书宋_GBK"/>
      <w:kern w:val="0"/>
      <w:sz w:val="24"/>
      <w:szCs w:val="24"/>
      <w:lang w:eastAsia="uk-UA"/>
    </w:rPr>
  </w:style>
  <w:style w:type="paragraph" w:customStyle="1" w:styleId="37">
    <w:name w:val="插入文本样式-插入单位职责文件"/>
    <w:basedOn w:val="1"/>
    <w:autoRedefine/>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38">
    <w:name w:val="插入文本样式-插入预算公开单位预算安排的总体情况文件"/>
    <w:basedOn w:val="1"/>
    <w:autoRedefine/>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39">
    <w:name w:val="插入文本样式-插入预算公开单位机关运行经费安排情况文件"/>
    <w:basedOn w:val="1"/>
    <w:autoRedefine/>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40">
    <w:name w:val="插入文本样式-插入预算公开单位财政拨款三公经费预算情况及增减变化原因文件"/>
    <w:basedOn w:val="1"/>
    <w:autoRedefine/>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41">
    <w:name w:val="目录 21"/>
    <w:basedOn w:val="1"/>
    <w:autoRedefine/>
    <w:qFormat/>
    <w:uiPriority w:val="0"/>
    <w:pPr>
      <w:widowControl/>
      <w:ind w:left="240"/>
      <w:jc w:val="left"/>
    </w:pPr>
    <w:rPr>
      <w:rFonts w:ascii="Times New Roman" w:hAnsi="Times New Roman" w:eastAsia="Times New Roman" w:cs="Times New Roman"/>
      <w:kern w:val="0"/>
      <w:sz w:val="24"/>
      <w:szCs w:val="24"/>
      <w:lang w:eastAsia="uk-UA"/>
    </w:rPr>
  </w:style>
  <w:style w:type="paragraph" w:customStyle="1" w:styleId="42">
    <w:name w:val="目录 31"/>
    <w:basedOn w:val="1"/>
    <w:autoRedefine/>
    <w:qFormat/>
    <w:uiPriority w:val="0"/>
    <w:pPr>
      <w:widowControl/>
      <w:ind w:left="480"/>
      <w:jc w:val="left"/>
    </w:pPr>
    <w:rPr>
      <w:rFonts w:ascii="Times New Roman" w:hAnsi="Times New Roman" w:eastAsia="Times New Roman" w:cs="Times New Roman"/>
      <w:kern w:val="0"/>
      <w:sz w:val="24"/>
      <w:szCs w:val="24"/>
      <w:lang w:eastAsia="uk-UA"/>
    </w:rPr>
  </w:style>
  <w:style w:type="paragraph" w:customStyle="1" w:styleId="43">
    <w:name w:val="目录 41"/>
    <w:basedOn w:val="1"/>
    <w:autoRedefine/>
    <w:qFormat/>
    <w:uiPriority w:val="0"/>
    <w:pPr>
      <w:widowControl/>
      <w:ind w:left="720"/>
      <w:jc w:val="left"/>
    </w:pPr>
    <w:rPr>
      <w:rFonts w:ascii="Times New Roman" w:hAnsi="Times New Roman" w:eastAsia="Times New Roman" w:cs="Times New Roman"/>
      <w:kern w:val="0"/>
      <w:sz w:val="24"/>
      <w:szCs w:val="24"/>
      <w:lang w:eastAsia="uk-UA"/>
    </w:rPr>
  </w:style>
  <w:style w:type="paragraph" w:customStyle="1" w:styleId="44">
    <w:name w:val="目录 11"/>
    <w:basedOn w:val="1"/>
    <w:autoRedefine/>
    <w:qFormat/>
    <w:uiPriority w:val="0"/>
    <w:pPr>
      <w:widowControl/>
      <w:spacing w:before="120"/>
      <w:ind w:firstLine="560"/>
      <w:jc w:val="left"/>
    </w:pPr>
    <w:rPr>
      <w:rFonts w:ascii="Times New Roman" w:hAnsi="Times New Roman" w:eastAsia="方正仿宋_GBK" w:cs="Times New Roman"/>
      <w:color w:val="000000"/>
      <w:kern w:val="0"/>
      <w:sz w:val="28"/>
      <w:szCs w:val="24"/>
      <w:lang w:eastAsia="uk-UA"/>
    </w:rPr>
  </w:style>
  <w:style w:type="character" w:customStyle="1" w:styleId="45">
    <w:name w:val="页眉 Char"/>
    <w:basedOn w:val="12"/>
    <w:link w:val="5"/>
    <w:autoRedefine/>
    <w:qFormat/>
    <w:uiPriority w:val="99"/>
    <w:rPr>
      <w:kern w:val="2"/>
      <w:sz w:val="18"/>
      <w:szCs w:val="18"/>
    </w:rPr>
  </w:style>
  <w:style w:type="character" w:customStyle="1" w:styleId="46">
    <w:name w:val="页脚 Char"/>
    <w:basedOn w:val="12"/>
    <w:link w:val="4"/>
    <w:autoRedefine/>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1B320-5C6B-4A10-839F-83B9F1E3FE7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2396</Words>
  <Characters>13662</Characters>
  <Lines>113</Lines>
  <Paragraphs>32</Paragraphs>
  <TotalTime>9154</TotalTime>
  <ScaleCrop>false</ScaleCrop>
  <LinksUpToDate>false</LinksUpToDate>
  <CharactersWithSpaces>16026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Queen</cp:lastModifiedBy>
  <cp:lastPrinted>2018-01-30T06:12:00Z</cp:lastPrinted>
  <dcterms:modified xsi:type="dcterms:W3CDTF">2024-01-19T02:22:13Z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D5E12B998AED49EAB438011ECB12EE7C_13</vt:lpwstr>
  </property>
</Properties>
</file>