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廊坊市人民政府国有资产监督管理委员会本级</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(一)</w:t>
      </w:r>
      <w:r>
        <w:rPr>
          <w:rFonts w:hint="eastAsia" w:ascii="Times New Roman" w:hAnsi="Times New Roman" w:eastAsia="仿宋_GB2312" w:cs="Times New Roman"/>
          <w:sz w:val="32"/>
          <w:szCs w:val="32"/>
        </w:rPr>
        <w:t>根据市政府授权，依照《中华人民共和国企业国有资产法》《中华人民共和国公司法》等法律和行政法规履行出资人职责，监管履行出资人职责企业的国有资产，加强国有资产的管理工作。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(二)</w:t>
      </w:r>
      <w:r>
        <w:rPr>
          <w:rFonts w:hint="eastAsia" w:ascii="Times New Roman" w:hAnsi="Times New Roman" w:eastAsia="仿宋_GB2312" w:cs="Times New Roman"/>
          <w:sz w:val="32"/>
          <w:szCs w:val="32"/>
        </w:rPr>
        <w:t>承担监督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(三)</w:t>
      </w:r>
      <w:r>
        <w:rPr>
          <w:rFonts w:hint="eastAsia" w:ascii="Times New Roman" w:hAnsi="Times New Roman" w:eastAsia="仿宋_GB2312" w:cs="Times New Roman"/>
          <w:sz w:val="32"/>
          <w:szCs w:val="32"/>
        </w:rPr>
        <w:t>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(四)</w:t>
      </w:r>
      <w:r>
        <w:rPr>
          <w:rFonts w:hint="eastAsia" w:ascii="Times New Roman" w:hAnsi="Times New Roman" w:eastAsia="仿宋_GB2312" w:cs="Times New Roman"/>
          <w:sz w:val="32"/>
          <w:szCs w:val="32"/>
        </w:rPr>
        <w:t>指导推进国有企业改革和重组，推进国有企业的现代企业制度建设，完善公司治理结构；推动国有经济布局和结构的战略性调整，制定所监管企业整体规划，审核所监管企业发展战略和规划；改进投资监管方式，强化主业管理；指导所监管企业防范风险，开展违规投资追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(五)</w:t>
      </w:r>
      <w:r>
        <w:rPr>
          <w:rFonts w:hint="eastAsia" w:ascii="Times New Roman" w:hAnsi="Times New Roman" w:eastAsia="仿宋_GB2312" w:cs="Times New Roman"/>
          <w:sz w:val="32"/>
          <w:szCs w:val="32"/>
        </w:rPr>
        <w:t>负责通过法定程序对所监管企业负责人进行任免、考核，并根据其经营业绩进行奖惩。</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(六)</w:t>
      </w:r>
      <w:r>
        <w:rPr>
          <w:rFonts w:hint="eastAsia" w:ascii="Times New Roman" w:hAnsi="Times New Roman" w:eastAsia="仿宋_GB2312" w:cs="Times New Roman"/>
          <w:sz w:val="32"/>
          <w:szCs w:val="32"/>
        </w:rPr>
        <w:t>负责组织所监管企业上交国有资本收益，参与制定国有资本经营预算有关管理制度和办法，按照有关规定负责国有资本经营预决算编制和执行等工作。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(七)</w:t>
      </w:r>
      <w:r>
        <w:rPr>
          <w:rFonts w:hint="eastAsia" w:ascii="Times New Roman" w:hAnsi="Times New Roman" w:eastAsia="仿宋_GB2312" w:cs="Times New Roman"/>
          <w:sz w:val="32"/>
          <w:szCs w:val="32"/>
        </w:rPr>
        <w:t>负责有关监督成果的利用工作，分类处置、督办和深入核查监督检查发现移交的问题，对共性问题组织开展专项核查，组织开展国有资产重大损失调查，提出有关责任追究的意见建议。</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(八)</w:t>
      </w:r>
      <w:r>
        <w:rPr>
          <w:rFonts w:hint="eastAsia" w:ascii="Times New Roman" w:hAnsi="Times New Roman" w:eastAsia="仿宋_GB2312" w:cs="Times New Roman"/>
          <w:sz w:val="32"/>
          <w:szCs w:val="32"/>
        </w:rPr>
        <w:t>按照出资人职责，负责督促检查所监管企业贯彻落实国家安全生产方针政策及有关法律法规、标准等工作。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(九)</w:t>
      </w:r>
      <w:r>
        <w:rPr>
          <w:rFonts w:hint="eastAsia" w:ascii="Times New Roman" w:hAnsi="Times New Roman" w:eastAsia="仿宋_GB2312" w:cs="Times New Roman"/>
          <w:sz w:val="32"/>
          <w:szCs w:val="32"/>
        </w:rPr>
        <w:t>负责企业国有资产基础管理，贯彻落实国家有关国有资产管理的法律法规，制定国有资产管理的有关制度和办法，依法对县（市、区）、廊坊开发区国有资产管理工作进行指导和监督。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w:t>
      </w:r>
      <w:r>
        <w:rPr>
          <w:rFonts w:hint="eastAsia" w:ascii="Times New Roman" w:hAnsi="Times New Roman" w:eastAsia="仿宋_GB2312" w:cs="Times New Roman"/>
          <w:sz w:val="32"/>
          <w:szCs w:val="32"/>
        </w:rPr>
        <w:t>建立健全党建工作责任制，完善企业党建工作考核评价体系，开展所监管企业党建工作考核；指导所监管企业开展党的建设工作。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(十一)</w:t>
      </w:r>
      <w:r>
        <w:rPr>
          <w:rFonts w:hint="eastAsia" w:ascii="Times New Roman" w:hAnsi="Times New Roman" w:eastAsia="仿宋_GB2312" w:cs="Times New Roman"/>
          <w:sz w:val="32"/>
          <w:szCs w:val="32"/>
        </w:rPr>
        <w:t>指导所监管企业和委属事业单位对巡视巡察、专项检查、审计中发现问题的整改。</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(十二)</w:t>
      </w:r>
      <w:r>
        <w:rPr>
          <w:rFonts w:hint="eastAsia" w:ascii="Times New Roman" w:hAnsi="Times New Roman" w:eastAsia="仿宋_GB2312" w:cs="Times New Roman"/>
          <w:sz w:val="32"/>
          <w:szCs w:val="32"/>
        </w:rPr>
        <w:t>对所监管集体企业资产进行监督管理，维护集体经济合法权益，促进集体经济发展。</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(十三)</w:t>
      </w:r>
      <w:r>
        <w:rPr>
          <w:rFonts w:hint="eastAsia" w:ascii="Times New Roman" w:hAnsi="Times New Roman" w:eastAsia="仿宋_GB2312" w:cs="Times New Roman"/>
          <w:sz w:val="32"/>
          <w:szCs w:val="32"/>
        </w:rPr>
        <w:t>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394"/>
        <w:gridCol w:w="2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39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78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394" w:type="dxa"/>
            <w:vMerge w:val="continue"/>
            <w:shd w:val="clear" w:color="auto" w:fill="auto"/>
            <w:vAlign w:val="center"/>
          </w:tcPr>
          <w:p/>
        </w:tc>
        <w:tc>
          <w:tcPr>
            <w:tcW w:w="2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廊坊市人民政府国有资产监督管理委员会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39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正处（县）级</w:t>
            </w:r>
          </w:p>
        </w:tc>
        <w:tc>
          <w:tcPr>
            <w:tcW w:w="278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7776.63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5788.63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国有资本经营预算收入1988万元，</w:t>
      </w:r>
      <w:r>
        <w:rPr>
          <w:rFonts w:ascii="Times New Roman" w:hAnsi="Times New Roman" w:eastAsia="仿宋_GB2312" w:cs="Times New Roman"/>
          <w:sz w:val="32"/>
          <w:szCs w:val="32"/>
        </w:rPr>
        <w:t>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人民政府国有资产监督管理委员会</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7776.63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2694.81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2438.61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256.2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5081.82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国企职教幼教退休教师专项补贴资金1490.24万元、国企干部管理培训工作经费170万元、廊坊交通运输集团有限公司全域公交一体化项目资金480万元、廊坊市天都大酒店增加注册资本金700万元、廊坊市公共交通运输集团有限公司“健康服务中心（职工之家）”项目资金120万元、廊坊市物产集团有限公司补充注册资本金245万元、市国资委监管企业外部董事服务管理费280万元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7776.63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839.48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229.26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610.22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公交场站</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250.97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7.4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,。与2021年相比减少4.42万元，其中，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少4.42</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，公务用车运维费减</w:t>
      </w:r>
      <w:r>
        <w:rPr>
          <w:rFonts w:hint="eastAsia" w:ascii="Times New Roman" w:hAnsi="Times New Roman" w:eastAsia="仿宋_GB2312" w:cs="Times New Roman"/>
          <w:sz w:val="32"/>
          <w:szCs w:val="32"/>
        </w:rPr>
        <w:t>少4.42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我部门切实落实勤俭节约各项规定，压减公车运行经费支出。公务接待费1.4万元，与2021年相比持平，无增减变化。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2022年，国资工作将高举习近平新时代中国特色社会主义思想伟大旗帜，深入贯彻落实党中央重大决策和省、市工作部署，坚持新发展理念和高质量发展要求，以改革求突破，用创新谋发展，转机制、抓管理、练内功、增效益，全力以赴开创国有经济发展新局面。加快推动经营性国有资产集中统一监管，力争国资委直接监管资产突破400亿元；坚持市场导向积极稳妥深化混合所有制改革，推进外部董事选聘、管理和薪酬制度改革，健全完善国有企业领导班子和领导人员经营业绩考核体系，推动国企改革三年行动圆满收官；优化国有资产结构布局，推动国有资产重组整合，着力打造实力雄厚、融资强劲的国有资本运营资平台，加大面向央企、京企招商引资力度，提升国有企业产业带动能力和公共服务水平；完善国有企业监管协调协作机制，强化监管企业财务预算管理，加强企业财务指标动态监测和经济运行分析，切实防范化解国有企业债务融资、项目投资、经营决策、生产安全等领域风险隐患，为全市经济社会发展、民生保障贡献国资力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707" w:firstLineChars="220"/>
        <w:rPr>
          <w:rFonts w:ascii="仿宋_GB2312"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w:t>
      </w:r>
      <w:r>
        <w:rPr>
          <w:rFonts w:hint="eastAsia" w:ascii="仿宋_GB2312" w:eastAsia="仿宋_GB2312" w:cs="Times New Roman"/>
          <w:sz w:val="32"/>
          <w:szCs w:val="32"/>
        </w:rPr>
        <w:t>及时做好市级国有企业产权登记工作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绩效目标：完成市级国有企业产权登记统计工作，及时掌握企业产权变化状况。</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绩效指标：重点完成2021年底新纳入集中统一监管企业产权登记工作。    </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积极做好国有资产数据统计分析利用工作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绩效目标：向省国资委上报廊坊市国有企业经济运行情况快报报表；每年向省国资委、市人大、市统计局报送廊坊市国有企业年度决算报表。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绩效指标：组织100余家廊坊市国有企业每月8日前向省国资委上报经济运行情况快报报表；组织100余家廊坊市国有企业每年向省国资委、市人大、市统计局报送年度决算报表。</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编制完成国有资本经营预算建议计划，做好国有资本收益上缴工作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绩效目标：编制国有资本经营预算建议计划，组织做好国有资本收益上缴工作。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严格按照《廊坊市市级国有资本经营预算管理办法》（廊财建〔2020〕84号）《廊坊市财政局关于市属企业国有资本收益征收有关问题的通知》（廊财建〔2019〕86号）文件要求，审核完成90%以上应缴收益企业。12月底前，完成国有资本经营预算建议计划编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 xml:space="preserve">完成企业领导人员任免和考核工作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负责通过法定程序对所监管企业法人进行任免、考核，深入研究企业实际、行业特点和岗位需求，运用定性评价与定量考核相结合、多维度测评等方式，对监管企业领导班子和领导人员进行年度综合考评评价和任免。达到较好履职成效（考核称职率90%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绩效指标：考核监管企业和各企业领导班子成员覆盖率100%。</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推进全面从严治党主体责任落实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绩效目标：通过</w:t>
      </w:r>
      <w:r>
        <w:rPr>
          <w:rFonts w:hint="eastAsia" w:ascii="仿宋_GB2312" w:eastAsia="仿宋_GB2312" w:cs="Times New Roman"/>
          <w:sz w:val="32"/>
          <w:szCs w:val="32"/>
          <w:lang w:eastAsia="zh-CN"/>
        </w:rPr>
        <w:t>全面</w:t>
      </w:r>
      <w:bookmarkStart w:id="1" w:name="_GoBack"/>
      <w:bookmarkEnd w:id="1"/>
      <w:r>
        <w:rPr>
          <w:rFonts w:hint="eastAsia" w:ascii="仿宋_GB2312" w:eastAsia="仿宋_GB2312" w:cs="Times New Roman"/>
          <w:sz w:val="32"/>
          <w:szCs w:val="32"/>
        </w:rPr>
        <w:t>从严治党主体责任，确保全面从严治党要求贯彻落实。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绩效指标：调整完善落实全面从严治党主体责任清单，形成目标明确、行之有效的制度运行体系，确保全面从严治党主体责任100%落实。</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统筹推动国企改革三年行动任务落实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绩效目标：国企改革三年行动重点任务细化分解，逐项明确责任科室、完成时限，建立工作进展月报告制度，对改革任务实施“对账销号”管理，确保各项重点任务保质保量完成。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绩效指标：2022年“七一”前国企改革三年行动基本完成主体工作。</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下达2022年监管企业负责人经营业绩考核指标。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绩效目标：通过下达2022年监管企业负责人经营业绩考核目标值，压实工作责任，做强做优做大国有企业。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绩效指标：确定17家（含参股企业、子企业）监管企业负责人的经营业绩考核目标值，2022年4月底前签订年度经营业绩责任书。</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8、</w:t>
      </w:r>
      <w:r>
        <w:rPr>
          <w:rFonts w:hint="eastAsia" w:ascii="仿宋_GB2312" w:eastAsia="仿宋_GB2312" w:cs="Times New Roman"/>
          <w:sz w:val="32"/>
          <w:szCs w:val="32"/>
        </w:rPr>
        <w:t>指导年薪制企业制定2022年度企业负责人薪酬方案。</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根据廊坊市发布的2021年国有企业在岗职工平均工资基数和2022年度经营业绩考核结果，指导企业制定2022年度企业负责人薪酬方案，坚持薪酬与业绩考核评价结果挂钩，“业绩升、薪酬升，业绩降、薪酬降”。</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绩效指标：完成6家年薪制企业薪酬方案的制定工作。</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9、</w:t>
      </w:r>
      <w:r>
        <w:rPr>
          <w:rFonts w:hint="eastAsia" w:ascii="仿宋_GB2312" w:eastAsia="仿宋_GB2312" w:cs="Times New Roman"/>
          <w:sz w:val="32"/>
          <w:szCs w:val="32"/>
        </w:rPr>
        <w:t>完成国有企业职教幼教退休教师待遇落实工作。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绩效目标：完成国有企业职教幼教退休教师待遇落实工作，维护国有企业职教幼教退休教师的合法权益和我市和谐稳定局面。</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绩效指标：完成551名国有企业职教幼教退休教师补贴资金的发放工作，补贴资金按时足额发放到位。</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10、</w:t>
      </w:r>
      <w:r>
        <w:rPr>
          <w:rFonts w:hint="eastAsia" w:ascii="仿宋_GB2312" w:eastAsia="仿宋_GB2312" w:cs="Times New Roman"/>
          <w:sz w:val="32"/>
          <w:szCs w:val="32"/>
        </w:rPr>
        <w:t>完成离退休干部慰问、体检工作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绩效目标：通过完成离退休干部春节、重阳节、过生日、生病住院、去世等走访慰问体检工作，切实体现党和政府对老同志的关怀。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166名老干部春节、重阳节走访慰问工作，完成慰问生病住院老干部、慰问去世老干部的遗属工作，完成2022年体检工作，完成30名老干部过生日走访慰问工作，购买慰问品、生日慰问金、及时发放到位。</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11、</w:t>
      </w:r>
      <w:r>
        <w:rPr>
          <w:rFonts w:hint="eastAsia" w:ascii="仿宋_GB2312" w:eastAsia="仿宋_GB2312" w:cs="Times New Roman"/>
          <w:sz w:val="32"/>
          <w:szCs w:val="32"/>
        </w:rPr>
        <w:t>国资系统安全生产和环境保护工作态势平稳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绩效目标：达到廊坊市国资委监管企业不发生重大生产安全和生态环境保护事故。</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 廊坊市国资委监管企业安全生产和生态环境保护事故0死亡人数。</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12、</w:t>
      </w:r>
      <w:r>
        <w:rPr>
          <w:rFonts w:hint="eastAsia" w:ascii="仿宋_GB2312" w:eastAsia="仿宋_GB2312" w:cs="Times New Roman"/>
          <w:sz w:val="32"/>
          <w:szCs w:val="32"/>
        </w:rPr>
        <w:t xml:space="preserve">完成所属单位职称申报工作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绩效目标：完成所属单位职称申报工作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绩效指标：指导所属单位完成职称申报工作，争取通过率在90%以上。 </w:t>
      </w:r>
    </w:p>
    <w:p>
      <w:pPr>
        <w:spacing w:line="584" w:lineRule="exact"/>
        <w:ind w:firstLine="640" w:firstLineChars="200"/>
        <w:rPr>
          <w:rFonts w:ascii="楷体_GB2312" w:eastAsia="楷体_GB2312" w:cs="Times New Roman"/>
          <w:b/>
          <w:sz w:val="32"/>
          <w:szCs w:val="32"/>
        </w:rPr>
      </w:pPr>
      <w:r>
        <w:rPr>
          <w:rFonts w:hint="eastAsia" w:ascii="仿宋_GB2312" w:eastAsia="仿宋_GB2312" w:cs="Times New Roman"/>
          <w:sz w:val="32"/>
          <w:szCs w:val="32"/>
        </w:rPr>
        <w:t xml:space="preserve"> </w:t>
      </w:r>
      <w:r>
        <w:rPr>
          <w:rFonts w:hint="eastAsia" w:ascii="楷体_GB2312" w:eastAsia="楷体_GB2312" w:cs="Times New Roman"/>
          <w:b/>
          <w:sz w:val="32"/>
          <w:szCs w:val="32"/>
        </w:rPr>
        <w:t>（三）工作保障措施</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善制度建设。我委在预算绩效制度工作中，统一领导，统筹谋划，分科管理，规范程序，有序推进。印发了《廊坊市人民政府国有资产监督管理委员会预算绩效管理办法》等科学规范、符合实际、便于操作的各项规章制度；着力加强预算绩效目标管理，完善绩效目标申报、审核、评价机制等各项制度。此外，还强化责任担当，把全面实施预算绩效管理摆上重要日程，科学安排部署，建立健全委预算绩效管理工作机制，形成了完备的预算绩效管理工作体系，筑牢制度基础。</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加强支出管理。我委遵循先有预算、后有支出原则，严格执行预算，严禁超预算或者无预算安排支出，通过优化支出结构、编细编实预算、按照支出程序及时支付资金、6月底前预算支出达到50%、10月底前支出90%。</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加强绩效运行监控。落实责任制度，明确项目单位责任，做到责任明确。建立了完善的报表制度，要求项目单位实时将工作进度与资金使用情况进行上报，及时进行绩效监督。建立了严格的项目资金预算管理监督制度，防止舞弊行为的发生，防止项目资金被挤占挪用。发现问题及时让项目单位整改，确保项目资金的有效使用。</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做好绩效自评。按要求开展上年度部门预算绩效自评和重点评价工作，对评价中发现的问题及时整改，调整优化支出结构，提高财政资金使用效益。</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规范财务资产管理。我委完善了财务管理制度，严格审批程序，完善了固定资产管理制度，加强固定资产登记、使用和报废处置管理，做到支出合理，物尽其用。</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加强内部监督。加强内部监督制度建设，对绩效运行情况、重大支出决策、对外投资、资产处置及其他重要经济业务事项的决策和执行进行督导，聘请中介机构对我委财务情况进行内部审计，并配合做好审计、财政监督等外部监督工作，确保财政资金安全有效。</w:t>
      </w:r>
    </w:p>
    <w:p>
      <w:pPr>
        <w:spacing w:line="584" w:lineRule="exact"/>
        <w:ind w:firstLine="643" w:firstLineChars="20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加强宣传培训调研。加强人员培训，拟开展1次监管企业领导人员能力提升专题培训班、1次法律教育培训，提升对监管企业的监管能力；加大宣传力度，强化预算绩效管理意识，促进预算绩效管理水平进一步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（四）单位整体支出绩效指标</w:t>
      </w:r>
    </w:p>
    <w:tbl>
      <w:tblPr>
        <w:tblStyle w:val="8"/>
        <w:tblW w:w="0" w:type="auto"/>
        <w:jc w:val="center"/>
        <w:tblLayout w:type="fixed"/>
        <w:tblCellMar>
          <w:top w:w="0" w:type="dxa"/>
          <w:left w:w="11" w:type="dxa"/>
          <w:bottom w:w="0" w:type="dxa"/>
          <w:right w:w="11" w:type="dxa"/>
        </w:tblCellMar>
      </w:tblPr>
      <w:tblGrid>
        <w:gridCol w:w="866"/>
        <w:gridCol w:w="848"/>
        <w:gridCol w:w="850"/>
        <w:gridCol w:w="1256"/>
        <w:gridCol w:w="1256"/>
        <w:gridCol w:w="464"/>
        <w:gridCol w:w="497"/>
        <w:gridCol w:w="495"/>
        <w:gridCol w:w="1796"/>
      </w:tblGrid>
      <w:tr>
        <w:tblPrEx>
          <w:tblCellMar>
            <w:top w:w="0" w:type="dxa"/>
            <w:left w:w="11" w:type="dxa"/>
            <w:bottom w:w="0" w:type="dxa"/>
            <w:right w:w="11" w:type="dxa"/>
          </w:tblCellMar>
        </w:tblPrEx>
        <w:trPr>
          <w:trHeight w:val="286" w:hRule="atLeast"/>
          <w:jc w:val="center"/>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一级指标</w:t>
            </w:r>
          </w:p>
        </w:tc>
        <w:tc>
          <w:tcPr>
            <w:tcW w:w="848" w:type="dxa"/>
            <w:vMerge w:val="restart"/>
            <w:tcBorders>
              <w:top w:val="single" w:color="auto" w:sz="4" w:space="0"/>
              <w:left w:val="nil"/>
              <w:bottom w:val="single" w:color="auto" w:sz="4" w:space="0"/>
              <w:right w:val="single" w:color="auto" w:sz="4" w:space="0"/>
            </w:tcBorders>
            <w:shd w:val="clear" w:color="auto" w:fill="auto"/>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二级</w:t>
            </w:r>
            <w:r>
              <w:rPr>
                <w:rFonts w:ascii="Times New Roman" w:hAnsi="Times New Roman" w:eastAsia="仿宋_GB2312" w:cs="Times New Roman"/>
                <w:kern w:val="0"/>
                <w:sz w:val="18"/>
                <w:szCs w:val="18"/>
              </w:rPr>
              <w:t>指标</w:t>
            </w:r>
          </w:p>
        </w:tc>
        <w:tc>
          <w:tcPr>
            <w:tcW w:w="850"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三级指标　</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评（扣）分标准</w:t>
            </w:r>
          </w:p>
        </w:tc>
        <w:tc>
          <w:tcPr>
            <w:tcW w:w="12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绩效指标描述</w:t>
            </w:r>
          </w:p>
        </w:tc>
        <w:tc>
          <w:tcPr>
            <w:tcW w:w="1456" w:type="dxa"/>
            <w:gridSpan w:val="3"/>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w:t>
            </w:r>
          </w:p>
        </w:tc>
        <w:tc>
          <w:tcPr>
            <w:tcW w:w="1796"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指标值确定依据</w:t>
            </w:r>
          </w:p>
        </w:tc>
      </w:tr>
      <w:tr>
        <w:tblPrEx>
          <w:tblCellMar>
            <w:top w:w="0" w:type="dxa"/>
            <w:left w:w="11" w:type="dxa"/>
            <w:bottom w:w="0" w:type="dxa"/>
            <w:right w:w="11" w:type="dxa"/>
          </w:tblCellMar>
        </w:tblPrEx>
        <w:trPr>
          <w:trHeight w:val="214" w:hRule="atLeast"/>
          <w:jc w:val="center"/>
        </w:trPr>
        <w:tc>
          <w:tcPr>
            <w:tcW w:w="8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sz w:val="18"/>
                <w:szCs w:val="18"/>
              </w:rPr>
            </w:pPr>
          </w:p>
        </w:tc>
        <w:tc>
          <w:tcPr>
            <w:tcW w:w="848"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8"/>
                <w:szCs w:val="18"/>
              </w:rPr>
            </w:pPr>
          </w:p>
        </w:tc>
        <w:tc>
          <w:tcPr>
            <w:tcW w:w="85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8"/>
                <w:szCs w:val="18"/>
              </w:rPr>
            </w:pPr>
          </w:p>
        </w:tc>
        <w:tc>
          <w:tcPr>
            <w:tcW w:w="1256" w:type="dxa"/>
            <w:vMerge w:val="continue"/>
            <w:tcBorders>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000000"/>
                <w:sz w:val="18"/>
                <w:szCs w:val="18"/>
              </w:rPr>
            </w:pPr>
          </w:p>
        </w:tc>
        <w:tc>
          <w:tcPr>
            <w:tcW w:w="464"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符号</w:t>
            </w:r>
          </w:p>
        </w:tc>
        <w:tc>
          <w:tcPr>
            <w:tcW w:w="497"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值</w:t>
            </w:r>
          </w:p>
        </w:tc>
        <w:tc>
          <w:tcPr>
            <w:tcW w:w="49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单位</w:t>
            </w:r>
          </w:p>
        </w:tc>
        <w:tc>
          <w:tcPr>
            <w:tcW w:w="179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8"/>
                <w:szCs w:val="18"/>
              </w:rPr>
            </w:pPr>
          </w:p>
        </w:tc>
      </w:tr>
      <w:tr>
        <w:tblPrEx>
          <w:tblCellMar>
            <w:top w:w="0" w:type="dxa"/>
            <w:left w:w="11" w:type="dxa"/>
            <w:bottom w:w="0" w:type="dxa"/>
            <w:right w:w="11" w:type="dxa"/>
          </w:tblCellMar>
        </w:tblPrEx>
        <w:trPr>
          <w:trHeight w:val="1579" w:hRule="exact"/>
          <w:jc w:val="center"/>
        </w:trPr>
        <w:tc>
          <w:tcPr>
            <w:tcW w:w="866"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部门产出</w:t>
            </w:r>
          </w:p>
        </w:tc>
        <w:tc>
          <w:tcPr>
            <w:tcW w:w="848"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数量</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集中统一监管企业产权登记数量</w:t>
            </w:r>
            <w:r>
              <w:rPr>
                <w:rFonts w:hint="eastAsia" w:ascii="Times New Roman" w:hAnsi="Times New Roman" w:eastAsia="仿宋_GB2312" w:cs="Times New Roman"/>
                <w:color w:val="000000"/>
                <w:kern w:val="0"/>
                <w:sz w:val="18"/>
                <w:szCs w:val="18"/>
              </w:rPr>
              <w:tab/>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新纳入企业≥10家得满分，&lt;10家得零分。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完成新纳入集中统一监管企业产权登记数量</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工商登记变更</w:t>
            </w:r>
          </w:p>
        </w:tc>
      </w:tr>
      <w:tr>
        <w:tblPrEx>
          <w:tblCellMar>
            <w:top w:w="0" w:type="dxa"/>
            <w:left w:w="11" w:type="dxa"/>
            <w:bottom w:w="0" w:type="dxa"/>
            <w:right w:w="11" w:type="dxa"/>
          </w:tblCellMar>
        </w:tblPrEx>
        <w:trPr>
          <w:trHeight w:val="1120" w:hRule="exact"/>
          <w:jc w:val="center"/>
        </w:trPr>
        <w:tc>
          <w:tcPr>
            <w:tcW w:w="866"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国有资产数据统计分析企业数量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报表企业≥100家得满分，&lt;100家得零分。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组织向省国资委上报经济运行情况快报报表廊坊市国有企业数量</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419" w:hRule="exact"/>
          <w:jc w:val="center"/>
        </w:trPr>
        <w:tc>
          <w:tcPr>
            <w:tcW w:w="866"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覆盖率=100%得满分，每降低10%，扣权重分20%，扣完为止。</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283" w:hRule="exact"/>
          <w:jc w:val="center"/>
        </w:trPr>
        <w:tc>
          <w:tcPr>
            <w:tcW w:w="866"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补贴人数=551名得满分，每减少（增加）22名，减少权重10%，扣完为止。</w:t>
            </w:r>
          </w:p>
        </w:tc>
        <w:tc>
          <w:tcPr>
            <w:tcW w:w="1256" w:type="dxa"/>
            <w:tcBorders>
              <w:top w:val="nil"/>
              <w:left w:val="single" w:color="auto" w:sz="4" w:space="0"/>
              <w:bottom w:val="single" w:color="auto" w:sz="4" w:space="0"/>
              <w:right w:val="single" w:color="auto" w:sz="4" w:space="0"/>
            </w:tcBorders>
            <w:shd w:val="clear" w:color="auto" w:fill="auto"/>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考察国企职教幼教退休教师发放补贴人数情况</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551</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名</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教育局、人社局国有企业职教幼教资格认定人员名单</w:t>
            </w:r>
          </w:p>
        </w:tc>
      </w:tr>
      <w:tr>
        <w:tblPrEx>
          <w:tblCellMar>
            <w:top w:w="0" w:type="dxa"/>
            <w:left w:w="11" w:type="dxa"/>
            <w:bottom w:w="0" w:type="dxa"/>
            <w:right w:w="11" w:type="dxa"/>
          </w:tblCellMar>
        </w:tblPrEx>
        <w:trPr>
          <w:trHeight w:val="847"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数量=1个得满分，大于或小于1个得零分。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财政支持公交场站项目数量</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个</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预算批复文本</w:t>
            </w:r>
          </w:p>
        </w:tc>
      </w:tr>
      <w:tr>
        <w:tblPrEx>
          <w:tblCellMar>
            <w:top w:w="0" w:type="dxa"/>
            <w:left w:w="11" w:type="dxa"/>
            <w:bottom w:w="0" w:type="dxa"/>
            <w:right w:w="11" w:type="dxa"/>
          </w:tblCellMar>
        </w:tblPrEx>
        <w:trPr>
          <w:trHeight w:val="988"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国有资本经营预算企业数量/国资直接监管企业数量</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96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慰问、体检离退休干部人数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全部完成得满分，每减少67人扣10%的权重分，扣完为止</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慰问、体检离退休干部人数</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166</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人</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慰问表</w:t>
            </w:r>
          </w:p>
        </w:tc>
      </w:tr>
      <w:tr>
        <w:tblPrEx>
          <w:tblCellMar>
            <w:top w:w="0" w:type="dxa"/>
            <w:left w:w="11" w:type="dxa"/>
            <w:bottom w:w="0" w:type="dxa"/>
            <w:right w:w="11" w:type="dxa"/>
          </w:tblCellMar>
        </w:tblPrEx>
        <w:trPr>
          <w:trHeight w:val="912"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制定企业负责人薪酬方案数量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全部完成得满分，每减少1家扣30%的权重分，扣完为止</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年薪制企业制定企业负责人薪酬方案数量</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6</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方案</w:t>
            </w:r>
          </w:p>
        </w:tc>
      </w:tr>
      <w:tr>
        <w:tblPrEx>
          <w:tblCellMar>
            <w:top w:w="0" w:type="dxa"/>
            <w:left w:w="11" w:type="dxa"/>
            <w:bottom w:w="0" w:type="dxa"/>
            <w:right w:w="11" w:type="dxa"/>
          </w:tblCellMar>
        </w:tblPrEx>
        <w:trPr>
          <w:trHeight w:val="1063"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签订年度经营业绩责任书数量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全部完成得满分，每减少1家扣10%的权重分，扣完为止</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监管企业负责人签订年度经营业绩责任书数量</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17</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责任书</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产权登记完成率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新纳入企业≥90%得满分，&lt;90%得零分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完成新纳入集中统一监管企业产权登记完成率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工商登记变更</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质量</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报表完成率≥90%得满分，&lt;90%得零分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组织向省国资委上报经济运行情况快报报表完成率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77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考核企业领导人员称职率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称职率≥90%得满分，&lt;90%得零分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考核国有企业领导人员称职率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考核名单</w:t>
            </w:r>
          </w:p>
        </w:tc>
      </w:tr>
      <w:tr>
        <w:tblPrEx>
          <w:tblCellMar>
            <w:top w:w="0" w:type="dxa"/>
            <w:left w:w="11" w:type="dxa"/>
            <w:bottom w:w="0" w:type="dxa"/>
            <w:right w:w="11" w:type="dxa"/>
          </w:tblCellMar>
        </w:tblPrEx>
        <w:trPr>
          <w:trHeight w:val="108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应补尽补率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补贴率=100%得满分，每降低10%，扣权重分20%，扣完为止</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考察国企职教幼教退休教师补贴发放情况</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国有企业职教幼教退休教师补贴审批表</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完成率=100%得满分，低于100%得零分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国有资本经营预算表</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慰问、体检离退休干部到位率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到位率≥90%得满分，&lt;90%得零分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慰问、体检离退休干部人数/国资委离退休干部人数</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慰问名单</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签订年度经营业绩责任书完成率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完成率=100%得满分，每减少10%扣30%的权重分，扣完为止</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签订年度经营业绩责任书完成率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责任书</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制定企业负责人薪酬方案完成率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制定企业负责人薪酬方案数量/年薪制企业</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方案</w:t>
            </w:r>
          </w:p>
        </w:tc>
      </w:tr>
      <w:tr>
        <w:tblPrEx>
          <w:tblCellMar>
            <w:top w:w="0" w:type="dxa"/>
            <w:left w:w="11" w:type="dxa"/>
            <w:bottom w:w="0" w:type="dxa"/>
            <w:right w:w="11" w:type="dxa"/>
          </w:tblCellMar>
        </w:tblPrEx>
        <w:trPr>
          <w:trHeight w:val="801"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时效</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产权登记时间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2022年9月底前得满分，之后得零分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新纳入集中统一监管企业产权登记时间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2022年9月底前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工商登记时间</w:t>
            </w:r>
          </w:p>
        </w:tc>
      </w:tr>
      <w:tr>
        <w:tblPrEx>
          <w:tblCellMar>
            <w:top w:w="0" w:type="dxa"/>
            <w:left w:w="11" w:type="dxa"/>
            <w:bottom w:w="0" w:type="dxa"/>
            <w:right w:w="11" w:type="dxa"/>
          </w:tblCellMar>
        </w:tblPrEx>
        <w:trPr>
          <w:trHeight w:val="1169"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每月8日前上报满分，不报零分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每月8日前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报表时间</w:t>
            </w:r>
          </w:p>
        </w:tc>
      </w:tr>
      <w:tr>
        <w:tblPrEx>
          <w:tblCellMar>
            <w:top w:w="0" w:type="dxa"/>
            <w:left w:w="11" w:type="dxa"/>
            <w:bottom w:w="0" w:type="dxa"/>
            <w:right w:w="11" w:type="dxa"/>
          </w:tblCellMar>
        </w:tblPrEx>
        <w:trPr>
          <w:trHeight w:val="801"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 xml:space="preserve">2022年12月底前得满分。 </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2022年12月底前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32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拨付补贴及时率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及时率=100%得满分，&lt;100%得零分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考察国企职教幼教退休教师补贴发放时间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14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2022年11月底前拨付得满分，以后得零分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2022年11月底前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70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国有资本经营预算完成时间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2022年12月底前完成得满分.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国有资本经营预算完成时间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2022年12月底前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预算表</w:t>
            </w:r>
          </w:p>
        </w:tc>
      </w:tr>
      <w:tr>
        <w:tblPrEx>
          <w:tblCellMar>
            <w:top w:w="0" w:type="dxa"/>
            <w:left w:w="11" w:type="dxa"/>
            <w:bottom w:w="0" w:type="dxa"/>
            <w:right w:w="11" w:type="dxa"/>
          </w:tblCellMar>
        </w:tblPrEx>
        <w:trPr>
          <w:trHeight w:val="70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慰问、体检离退休干部时间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2022年11月底前拨付得满分，以后得零分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慰问、体检离退休干部时间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2022年11月底</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慰问名单</w:t>
            </w:r>
          </w:p>
        </w:tc>
      </w:tr>
      <w:tr>
        <w:tblPrEx>
          <w:tblCellMar>
            <w:top w:w="0" w:type="dxa"/>
            <w:left w:w="11" w:type="dxa"/>
            <w:bottom w:w="0" w:type="dxa"/>
            <w:right w:w="11" w:type="dxa"/>
          </w:tblCellMar>
        </w:tblPrEx>
        <w:trPr>
          <w:trHeight w:val="99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签订年度经营业绩责任书时间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2022年4月底完成满分，5月之后完成得权重分80%分。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监管企业负责人签订年度经营业绩责任书时间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2022年4月底前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责任书</w:t>
            </w:r>
          </w:p>
        </w:tc>
      </w:tr>
      <w:tr>
        <w:tblPrEx>
          <w:tblCellMar>
            <w:top w:w="0" w:type="dxa"/>
            <w:left w:w="11" w:type="dxa"/>
            <w:bottom w:w="0" w:type="dxa"/>
            <w:right w:w="11" w:type="dxa"/>
          </w:tblCellMar>
        </w:tblPrEx>
        <w:trPr>
          <w:trHeight w:val="99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制定企业负责人薪酬方案完成时间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2022年8月底完成满分，5月之后完成得权重分80%分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制定企业负责人薪酬方案完成时间</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2022年8月底以前</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方案</w:t>
            </w:r>
          </w:p>
        </w:tc>
      </w:tr>
      <w:tr>
        <w:tblPrEx>
          <w:tblCellMar>
            <w:top w:w="0" w:type="dxa"/>
            <w:left w:w="11" w:type="dxa"/>
            <w:bottom w:w="0" w:type="dxa"/>
            <w:right w:w="11" w:type="dxa"/>
          </w:tblCellMar>
        </w:tblPrEx>
        <w:trPr>
          <w:trHeight w:val="1288"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成本</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国企职教幼教退休教师发放补贴2022年总成本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补贴额&lt;1490.24万元满分，&gt;1490.24万元零分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考察与当地同类人员待遇差异值</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1490.24</w:t>
            </w:r>
            <w:r>
              <w:rPr>
                <w:rFonts w:ascii="Times New Roman" w:hAnsi="Times New Roman" w:eastAsia="仿宋_GB2312" w:cs="Times New Roman"/>
                <w:color w:val="000000"/>
                <w:kern w:val="0"/>
                <w:sz w:val="18"/>
                <w:szCs w:val="18"/>
              </w:rPr>
              <w:t xml:space="preserve"> </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《河北省国资委、教育厅、财政厅和人社厅关于妥善解决国有企业职教幼教退休教师待遇问题的通知》（冀国资[2011]10号）</w:t>
            </w:r>
          </w:p>
        </w:tc>
      </w:tr>
      <w:tr>
        <w:tblPrEx>
          <w:tblCellMar>
            <w:top w:w="0" w:type="dxa"/>
            <w:left w:w="11" w:type="dxa"/>
            <w:bottom w:w="0" w:type="dxa"/>
            <w:right w:w="11" w:type="dxa"/>
          </w:tblCellMar>
        </w:tblPrEx>
        <w:trPr>
          <w:trHeight w:val="112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总成本&gt;1200万元零分，&lt;1200万元满分。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1200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根据《廊交[2020]362号》文件</w:t>
            </w:r>
          </w:p>
        </w:tc>
      </w:tr>
      <w:tr>
        <w:tblPrEx>
          <w:tblCellMar>
            <w:top w:w="0" w:type="dxa"/>
            <w:left w:w="11" w:type="dxa"/>
            <w:bottom w:w="0" w:type="dxa"/>
            <w:right w:w="11" w:type="dxa"/>
          </w:tblCellMar>
        </w:tblPrEx>
        <w:trPr>
          <w:trHeight w:val="1424" w:hRule="exact"/>
          <w:jc w:val="center"/>
        </w:trPr>
        <w:tc>
          <w:tcPr>
            <w:tcW w:w="866" w:type="dxa"/>
            <w:tcBorders>
              <w:top w:val="nil"/>
              <w:left w:val="single" w:color="auto" w:sz="4" w:space="0"/>
              <w:bottom w:val="single" w:color="000000"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退休人员高于0.05万元    离休人员高于0.06万元得零分，反之得满分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退休0.05    离休0.06</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慰问工作方案</w:t>
            </w:r>
          </w:p>
        </w:tc>
      </w:tr>
      <w:tr>
        <w:tblPrEx>
          <w:tblCellMar>
            <w:top w:w="0" w:type="dxa"/>
            <w:left w:w="11" w:type="dxa"/>
            <w:bottom w:w="0" w:type="dxa"/>
            <w:right w:w="11" w:type="dxa"/>
          </w:tblCellMar>
        </w:tblPrEx>
        <w:trPr>
          <w:trHeight w:val="1076" w:hRule="exact"/>
          <w:jc w:val="center"/>
        </w:trPr>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部门效果</w:t>
            </w:r>
          </w:p>
        </w:tc>
        <w:tc>
          <w:tcPr>
            <w:tcW w:w="848"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经济效益</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提供国有企业经济运行数据</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能够提供数据得满分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每年向省国资委、市人大、市统计局报送廊坊市国有企业年度决算报表</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提供数据</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监管企业决算汇总报表</w:t>
            </w:r>
          </w:p>
        </w:tc>
      </w:tr>
      <w:tr>
        <w:tblPrEx>
          <w:tblCellMar>
            <w:top w:w="0" w:type="dxa"/>
            <w:left w:w="11" w:type="dxa"/>
            <w:bottom w:w="0" w:type="dxa"/>
            <w:right w:w="11" w:type="dxa"/>
          </w:tblCellMar>
        </w:tblPrEx>
        <w:trPr>
          <w:trHeight w:val="890"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上缴率=100%得满分，&lt;100%得零分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2021年监管企业年度审计报告</w:t>
            </w:r>
          </w:p>
        </w:tc>
      </w:tr>
      <w:tr>
        <w:tblPrEx>
          <w:tblCellMar>
            <w:top w:w="0" w:type="dxa"/>
            <w:left w:w="11" w:type="dxa"/>
            <w:bottom w:w="0" w:type="dxa"/>
            <w:right w:w="11" w:type="dxa"/>
          </w:tblCellMar>
        </w:tblPrEx>
        <w:trPr>
          <w:trHeight w:val="1037"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监管企业净资产保值增值</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增值率≥100%得满分，每降低2%减权重分10%。</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监管企业净资产保值增值</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决算汇总表</w:t>
            </w:r>
          </w:p>
        </w:tc>
      </w:tr>
      <w:tr>
        <w:tblPrEx>
          <w:tblCellMar>
            <w:top w:w="0" w:type="dxa"/>
            <w:left w:w="11" w:type="dxa"/>
            <w:bottom w:w="0" w:type="dxa"/>
            <w:right w:w="11" w:type="dxa"/>
          </w:tblCellMar>
        </w:tblPrEx>
        <w:trPr>
          <w:trHeight w:val="804"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社会效益</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信访案件办结率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办结率≥95%得满分，&lt;95%得零分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信访案件办结率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95%</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信访部门办案率/上访案件</w:t>
            </w:r>
          </w:p>
        </w:tc>
      </w:tr>
      <w:tr>
        <w:tblPrEx>
          <w:tblCellMar>
            <w:top w:w="0" w:type="dxa"/>
            <w:left w:w="11" w:type="dxa"/>
            <w:bottom w:w="0" w:type="dxa"/>
            <w:right w:w="11" w:type="dxa"/>
          </w:tblCellMar>
        </w:tblPrEx>
        <w:trPr>
          <w:trHeight w:val="745"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发生重大安全生产死亡事故率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事故率=0得满分，每发生一起减权重分50%。</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监管企业发生重大安全生产死亡事故率</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按照实际发生数</w:t>
            </w:r>
          </w:p>
        </w:tc>
      </w:tr>
      <w:tr>
        <w:tblPrEx>
          <w:tblCellMar>
            <w:top w:w="0" w:type="dxa"/>
            <w:left w:w="11" w:type="dxa"/>
            <w:bottom w:w="0" w:type="dxa"/>
            <w:right w:w="11" w:type="dxa"/>
          </w:tblCellMar>
        </w:tblPrEx>
        <w:trPr>
          <w:trHeight w:val="922"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满意度</w:t>
            </w:r>
          </w:p>
        </w:tc>
        <w:tc>
          <w:tcPr>
            <w:tcW w:w="85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监管企业工作满意度</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满意度≥90%得满分，&lt;90%得零分</w:t>
            </w:r>
          </w:p>
        </w:tc>
        <w:tc>
          <w:tcPr>
            <w:tcW w:w="125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监管企业工作满意度</w:t>
            </w:r>
          </w:p>
        </w:tc>
        <w:tc>
          <w:tcPr>
            <w:tcW w:w="464"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l2br w:val="nil"/>
              <w:tr2bl w:val="nil"/>
            </w:tcBorders>
            <w:shd w:val="clear" w:color="auto" w:fill="auto"/>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pStyle w:val="30"/>
        <w:ind w:firstLine="560"/>
      </w:pPr>
      <w:r>
        <w:rPr>
          <w:rFonts w:ascii="方正仿宋_GBK" w:hAnsi="方正仿宋_GBK" w:eastAsia="方正仿宋_GBK" w:cs="方正仿宋_GBK"/>
          <w:b/>
          <w:color w:val="000000"/>
          <w:sz w:val="28"/>
        </w:rPr>
        <w:t>1、国资监管运行经费绩效目标表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1.目标内容1通过购买外包服务，避己之短，解决没有专业人员的难题，满足国资委机关日常运转，达到效率最大化的目标。</w:t>
            </w:r>
            <w:r>
              <w:tab/>
            </w:r>
            <w:r>
              <w:tab/>
            </w:r>
            <w:r>
              <w:tab/>
            </w:r>
            <w:r>
              <w:tab/>
            </w:r>
            <w:r>
              <w:tab/>
            </w:r>
            <w:r>
              <w:tab/>
            </w:r>
            <w:r>
              <w:tab/>
            </w:r>
            <w:r>
              <w:tab/>
            </w:r>
          </w:p>
          <w:p>
            <w:pPr>
              <w:pStyle w:val="32"/>
            </w:pP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项目服务房屋面积</w:t>
            </w:r>
          </w:p>
        </w:tc>
        <w:tc>
          <w:tcPr>
            <w:tcW w:w="2835" w:type="dxa"/>
            <w:vAlign w:val="center"/>
          </w:tcPr>
          <w:p>
            <w:pPr>
              <w:pStyle w:val="32"/>
            </w:pPr>
            <w:r>
              <w:t>项目服务房屋面积</w:t>
            </w:r>
          </w:p>
        </w:tc>
        <w:tc>
          <w:tcPr>
            <w:tcW w:w="2551" w:type="dxa"/>
            <w:vAlign w:val="center"/>
          </w:tcPr>
          <w:p>
            <w:pPr>
              <w:pStyle w:val="32"/>
            </w:pPr>
            <w:r>
              <w:t>6916.89平米</w:t>
            </w:r>
          </w:p>
        </w:tc>
        <w:tc>
          <w:tcPr>
            <w:tcW w:w="2268" w:type="dxa"/>
            <w:vAlign w:val="center"/>
          </w:tcPr>
          <w:p>
            <w:pPr>
              <w:pStyle w:val="32"/>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物业服务验收率</w:t>
            </w:r>
          </w:p>
        </w:tc>
        <w:tc>
          <w:tcPr>
            <w:tcW w:w="2835" w:type="dxa"/>
            <w:vAlign w:val="center"/>
          </w:tcPr>
          <w:p>
            <w:pPr>
              <w:pStyle w:val="32"/>
            </w:pPr>
            <w:r>
              <w:t>物业服务验收率</w:t>
            </w:r>
          </w:p>
        </w:tc>
        <w:tc>
          <w:tcPr>
            <w:tcW w:w="2551" w:type="dxa"/>
            <w:vAlign w:val="center"/>
          </w:tcPr>
          <w:p>
            <w:pPr>
              <w:pStyle w:val="32"/>
            </w:pPr>
            <w:r>
              <w:t>100%</w:t>
            </w:r>
          </w:p>
        </w:tc>
        <w:tc>
          <w:tcPr>
            <w:tcW w:w="2268" w:type="dxa"/>
            <w:vAlign w:val="center"/>
          </w:tcPr>
          <w:p>
            <w:pPr>
              <w:pStyle w:val="32"/>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拨款及时率</w:t>
            </w:r>
          </w:p>
        </w:tc>
        <w:tc>
          <w:tcPr>
            <w:tcW w:w="2835" w:type="dxa"/>
            <w:vAlign w:val="center"/>
          </w:tcPr>
          <w:p>
            <w:pPr>
              <w:pStyle w:val="32"/>
            </w:pPr>
            <w:r>
              <w:t>拨款及时率</w:t>
            </w:r>
          </w:p>
        </w:tc>
        <w:tc>
          <w:tcPr>
            <w:tcW w:w="2551" w:type="dxa"/>
            <w:vAlign w:val="center"/>
          </w:tcPr>
          <w:p>
            <w:pPr>
              <w:pStyle w:val="32"/>
            </w:pPr>
            <w:r>
              <w:t>100%</w:t>
            </w:r>
          </w:p>
        </w:tc>
        <w:tc>
          <w:tcPr>
            <w:tcW w:w="2268" w:type="dxa"/>
            <w:vAlign w:val="center"/>
          </w:tcPr>
          <w:p>
            <w:pPr>
              <w:pStyle w:val="32"/>
            </w:pPr>
            <w:r>
              <w:t>根据实际完成情况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此项目总成本</w:t>
            </w:r>
          </w:p>
        </w:tc>
        <w:tc>
          <w:tcPr>
            <w:tcW w:w="2835" w:type="dxa"/>
            <w:vAlign w:val="center"/>
          </w:tcPr>
          <w:p>
            <w:pPr>
              <w:pStyle w:val="32"/>
            </w:pPr>
            <w:r>
              <w:t>服务质量</w:t>
            </w:r>
          </w:p>
        </w:tc>
        <w:tc>
          <w:tcPr>
            <w:tcW w:w="2551" w:type="dxa"/>
            <w:vAlign w:val="center"/>
          </w:tcPr>
          <w:p>
            <w:pPr>
              <w:pStyle w:val="32"/>
            </w:pPr>
            <w:r>
              <w:t>151.3万元</w:t>
            </w:r>
          </w:p>
        </w:tc>
        <w:tc>
          <w:tcPr>
            <w:tcW w:w="2268" w:type="dxa"/>
            <w:vAlign w:val="center"/>
          </w:tcPr>
          <w:p>
            <w:pPr>
              <w:pStyle w:val="3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国企监管服务质量提高</w:t>
            </w:r>
          </w:p>
        </w:tc>
        <w:tc>
          <w:tcPr>
            <w:tcW w:w="2835" w:type="dxa"/>
            <w:vAlign w:val="center"/>
          </w:tcPr>
          <w:p>
            <w:pPr>
              <w:pStyle w:val="32"/>
            </w:pPr>
            <w:r>
              <w:t>国企监管服务质量提高</w:t>
            </w:r>
          </w:p>
        </w:tc>
        <w:tc>
          <w:tcPr>
            <w:tcW w:w="2551" w:type="dxa"/>
            <w:vAlign w:val="center"/>
          </w:tcPr>
          <w:p>
            <w:pPr>
              <w:pStyle w:val="32"/>
            </w:pPr>
            <w:r>
              <w:t>≥2人</w:t>
            </w:r>
          </w:p>
        </w:tc>
        <w:tc>
          <w:tcPr>
            <w:tcW w:w="2268" w:type="dxa"/>
            <w:vAlign w:val="center"/>
          </w:tcPr>
          <w:p>
            <w:pPr>
              <w:pStyle w:val="32"/>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单位事故出错率</w:t>
            </w:r>
          </w:p>
        </w:tc>
        <w:tc>
          <w:tcPr>
            <w:tcW w:w="2835" w:type="dxa"/>
            <w:vAlign w:val="center"/>
          </w:tcPr>
          <w:p>
            <w:pPr>
              <w:pStyle w:val="32"/>
            </w:pPr>
            <w:r>
              <w:t>事故出错率</w:t>
            </w:r>
          </w:p>
        </w:tc>
        <w:tc>
          <w:tcPr>
            <w:tcW w:w="2551" w:type="dxa"/>
            <w:vAlign w:val="center"/>
          </w:tcPr>
          <w:p>
            <w:pPr>
              <w:pStyle w:val="32"/>
            </w:pPr>
            <w:r>
              <w:t>&lt;1%</w:t>
            </w:r>
          </w:p>
        </w:tc>
        <w:tc>
          <w:tcPr>
            <w:tcW w:w="2268" w:type="dxa"/>
            <w:vAlign w:val="center"/>
          </w:tcPr>
          <w:p>
            <w:pPr>
              <w:pStyle w:val="32"/>
            </w:pPr>
            <w:r>
              <w:t>根据实际维修单据考核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用户满意度</w:t>
            </w:r>
          </w:p>
        </w:tc>
        <w:tc>
          <w:tcPr>
            <w:tcW w:w="2835" w:type="dxa"/>
            <w:vAlign w:val="center"/>
          </w:tcPr>
          <w:p>
            <w:pPr>
              <w:pStyle w:val="32"/>
            </w:pPr>
            <w:r>
              <w:t>单位职工满意度</w:t>
            </w:r>
          </w:p>
        </w:tc>
        <w:tc>
          <w:tcPr>
            <w:tcW w:w="2551" w:type="dxa"/>
            <w:vAlign w:val="center"/>
          </w:tcPr>
          <w:p>
            <w:pPr>
              <w:pStyle w:val="32"/>
            </w:pPr>
            <w:r>
              <w:t>≥95%</w:t>
            </w:r>
          </w:p>
        </w:tc>
        <w:tc>
          <w:tcPr>
            <w:tcW w:w="2268" w:type="dxa"/>
            <w:vAlign w:val="center"/>
          </w:tcPr>
          <w:p>
            <w:pPr>
              <w:pStyle w:val="32"/>
            </w:pPr>
            <w:r>
              <w:t>口头调查</w:t>
            </w:r>
          </w:p>
        </w:tc>
      </w:tr>
    </w:tbl>
    <w:p>
      <w:pPr>
        <w:pStyle w:val="30"/>
      </w:pPr>
    </w:p>
    <w:p>
      <w:pPr>
        <w:pStyle w:val="30"/>
        <w:ind w:firstLine="560"/>
      </w:pPr>
      <w:r>
        <w:rPr>
          <w:rFonts w:ascii="方正仿宋_GBK" w:hAnsi="方正仿宋_GBK" w:eastAsia="方正仿宋_GBK" w:cs="方正仿宋_GBK"/>
          <w:b/>
          <w:color w:val="000000"/>
          <w:sz w:val="28"/>
        </w:rPr>
        <w:t>2、国企改革发展专项资金绩效目标表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1.目标内容1妥善解决企业历史遗留问题，依法依规安置职工，减轻历史包袱，助力企业健康发展。</w:t>
            </w:r>
            <w:r>
              <w:tab/>
            </w:r>
            <w:r>
              <w:tab/>
            </w:r>
            <w:r>
              <w:tab/>
            </w:r>
            <w:r>
              <w:tab/>
            </w:r>
            <w:r>
              <w:tab/>
            </w:r>
            <w:r>
              <w:tab/>
            </w:r>
            <w:r>
              <w:tab/>
            </w:r>
            <w:r>
              <w:tab/>
            </w:r>
            <w:r>
              <w:tab/>
            </w:r>
            <w:r>
              <w:tab/>
            </w:r>
          </w:p>
          <w:p>
            <w:pPr>
              <w:pStyle w:val="32"/>
            </w:pP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改革企业户数</w:t>
            </w:r>
          </w:p>
        </w:tc>
        <w:tc>
          <w:tcPr>
            <w:tcW w:w="2835" w:type="dxa"/>
            <w:vAlign w:val="center"/>
          </w:tcPr>
          <w:p>
            <w:pPr>
              <w:pStyle w:val="32"/>
            </w:pPr>
            <w:r>
              <w:t>改革企业户数</w:t>
            </w:r>
          </w:p>
        </w:tc>
        <w:tc>
          <w:tcPr>
            <w:tcW w:w="2551" w:type="dxa"/>
            <w:vAlign w:val="center"/>
          </w:tcPr>
          <w:p>
            <w:pPr>
              <w:pStyle w:val="32"/>
            </w:pPr>
            <w:r>
              <w:t>1家</w:t>
            </w:r>
          </w:p>
        </w:tc>
        <w:tc>
          <w:tcPr>
            <w:tcW w:w="2268" w:type="dxa"/>
            <w:vAlign w:val="center"/>
          </w:tcPr>
          <w:p>
            <w:pPr>
              <w:pStyle w:val="32"/>
            </w:pPr>
            <w:r>
              <w:t>根据实际需求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历史遗留问解决或职工安置合格率</w:t>
            </w:r>
          </w:p>
        </w:tc>
        <w:tc>
          <w:tcPr>
            <w:tcW w:w="2835" w:type="dxa"/>
            <w:vAlign w:val="center"/>
          </w:tcPr>
          <w:p>
            <w:pPr>
              <w:pStyle w:val="32"/>
            </w:pPr>
            <w:r>
              <w:t>合格率=历史问题或职工安置完成数量/历史问题或职工安置总数量*100%</w:t>
            </w:r>
          </w:p>
        </w:tc>
        <w:tc>
          <w:tcPr>
            <w:tcW w:w="2551" w:type="dxa"/>
            <w:vAlign w:val="center"/>
          </w:tcPr>
          <w:p>
            <w:pPr>
              <w:pStyle w:val="32"/>
            </w:pPr>
            <w:r>
              <w:t>≥50%</w:t>
            </w:r>
          </w:p>
        </w:tc>
        <w:tc>
          <w:tcPr>
            <w:tcW w:w="2268" w:type="dxa"/>
            <w:vAlign w:val="center"/>
          </w:tcPr>
          <w:p>
            <w:pPr>
              <w:pStyle w:val="32"/>
            </w:pPr>
            <w:r>
              <w:t>根据历史问题已解决的证明资料或职工安置费用支出凭证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合格率=历史问题或职工安置完成数量/历史问题或职工安置总数量*100%</w:t>
            </w:r>
          </w:p>
        </w:tc>
        <w:tc>
          <w:tcPr>
            <w:tcW w:w="2835" w:type="dxa"/>
            <w:vAlign w:val="center"/>
          </w:tcPr>
          <w:p>
            <w:pPr>
              <w:pStyle w:val="32"/>
            </w:pPr>
            <w:r>
              <w:t>合格率=历史问题或职工安置完成数量/历史问题或职工安置总数量*100%</w:t>
            </w:r>
          </w:p>
        </w:tc>
        <w:tc>
          <w:tcPr>
            <w:tcW w:w="2551" w:type="dxa"/>
            <w:vAlign w:val="center"/>
          </w:tcPr>
          <w:p>
            <w:pPr>
              <w:pStyle w:val="32"/>
            </w:pPr>
            <w:r>
              <w:t>≥95%</w:t>
            </w:r>
          </w:p>
        </w:tc>
        <w:tc>
          <w:tcPr>
            <w:tcW w:w="2268" w:type="dxa"/>
            <w:vAlign w:val="center"/>
          </w:tcPr>
          <w:p>
            <w:pPr>
              <w:pStyle w:val="32"/>
            </w:pPr>
            <w:r>
              <w:t>根据历史问题已解决的证明资料或职工安置费用支出凭证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历史遗留问解决或职工安置成</w:t>
            </w:r>
          </w:p>
        </w:tc>
        <w:tc>
          <w:tcPr>
            <w:tcW w:w="2835" w:type="dxa"/>
            <w:vAlign w:val="center"/>
          </w:tcPr>
          <w:p>
            <w:pPr>
              <w:pStyle w:val="32"/>
            </w:pPr>
            <w:r>
              <w:t>历史遗留问解决或职工安置成</w:t>
            </w:r>
          </w:p>
        </w:tc>
        <w:tc>
          <w:tcPr>
            <w:tcW w:w="2551" w:type="dxa"/>
            <w:vAlign w:val="center"/>
          </w:tcPr>
          <w:p>
            <w:pPr>
              <w:pStyle w:val="32"/>
            </w:pPr>
            <w:r>
              <w:t>100万元</w:t>
            </w:r>
          </w:p>
        </w:tc>
        <w:tc>
          <w:tcPr>
            <w:tcW w:w="2268" w:type="dxa"/>
            <w:vAlign w:val="center"/>
          </w:tcPr>
          <w:p>
            <w:pPr>
              <w:pStyle w:val="32"/>
            </w:pPr>
            <w:r>
              <w:t>根据历史问题已解决的证明资料或职工安置费用支出凭证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企业人员投诉率</w:t>
            </w:r>
          </w:p>
        </w:tc>
        <w:tc>
          <w:tcPr>
            <w:tcW w:w="2835" w:type="dxa"/>
            <w:vAlign w:val="center"/>
          </w:tcPr>
          <w:p>
            <w:pPr>
              <w:pStyle w:val="32"/>
            </w:pPr>
            <w:r>
              <w:t>企业人员投诉率</w:t>
            </w:r>
          </w:p>
        </w:tc>
        <w:tc>
          <w:tcPr>
            <w:tcW w:w="2551" w:type="dxa"/>
            <w:vAlign w:val="center"/>
          </w:tcPr>
          <w:p>
            <w:pPr>
              <w:pStyle w:val="32"/>
            </w:pPr>
            <w:r>
              <w:t>≤1%</w:t>
            </w:r>
          </w:p>
        </w:tc>
        <w:tc>
          <w:tcPr>
            <w:tcW w:w="2268" w:type="dxa"/>
            <w:vAlign w:val="center"/>
          </w:tcPr>
          <w:p>
            <w:pPr>
              <w:pStyle w:val="32"/>
            </w:pPr>
            <w:r>
              <w:t>国资委信访记录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经济效益指标</w:t>
            </w:r>
          </w:p>
        </w:tc>
        <w:tc>
          <w:tcPr>
            <w:tcW w:w="2835" w:type="dxa"/>
            <w:vAlign w:val="center"/>
          </w:tcPr>
          <w:p>
            <w:pPr>
              <w:pStyle w:val="32"/>
            </w:pPr>
            <w:r>
              <w:t>企业经济包袱减轻</w:t>
            </w:r>
          </w:p>
        </w:tc>
        <w:tc>
          <w:tcPr>
            <w:tcW w:w="2835" w:type="dxa"/>
            <w:vAlign w:val="center"/>
          </w:tcPr>
          <w:p>
            <w:pPr>
              <w:pStyle w:val="32"/>
            </w:pPr>
            <w:r>
              <w:t>企业经济包袱减轻</w:t>
            </w:r>
          </w:p>
        </w:tc>
        <w:tc>
          <w:tcPr>
            <w:tcW w:w="2551" w:type="dxa"/>
            <w:vAlign w:val="center"/>
          </w:tcPr>
          <w:p>
            <w:pPr>
              <w:pStyle w:val="32"/>
            </w:pPr>
            <w:r>
              <w:t>减轻</w:t>
            </w:r>
          </w:p>
        </w:tc>
        <w:tc>
          <w:tcPr>
            <w:tcW w:w="2268" w:type="dxa"/>
            <w:vAlign w:val="center"/>
          </w:tcPr>
          <w:p>
            <w:pPr>
              <w:pStyle w:val="32"/>
            </w:pPr>
            <w:r>
              <w:t>根据实际完成情况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相关部门及职工的满意</w:t>
            </w:r>
          </w:p>
        </w:tc>
        <w:tc>
          <w:tcPr>
            <w:tcW w:w="2835" w:type="dxa"/>
            <w:vAlign w:val="center"/>
          </w:tcPr>
          <w:p>
            <w:pPr>
              <w:pStyle w:val="32"/>
            </w:pPr>
            <w:r>
              <w:t>相关部门及职工的满意</w:t>
            </w:r>
          </w:p>
        </w:tc>
        <w:tc>
          <w:tcPr>
            <w:tcW w:w="2551" w:type="dxa"/>
            <w:vAlign w:val="center"/>
          </w:tcPr>
          <w:p>
            <w:pPr>
              <w:pStyle w:val="32"/>
            </w:pPr>
            <w:r>
              <w:t>≥95%</w:t>
            </w:r>
          </w:p>
        </w:tc>
        <w:tc>
          <w:tcPr>
            <w:tcW w:w="2268" w:type="dxa"/>
            <w:vAlign w:val="center"/>
          </w:tcPr>
          <w:p>
            <w:pPr>
              <w:pStyle w:val="32"/>
            </w:pPr>
            <w:r>
              <w:t>根据满意度调研</w:t>
            </w:r>
          </w:p>
        </w:tc>
      </w:tr>
    </w:tbl>
    <w:p>
      <w:pPr>
        <w:pStyle w:val="30"/>
      </w:pPr>
    </w:p>
    <w:p>
      <w:pPr>
        <w:pStyle w:val="30"/>
        <w:ind w:firstLine="560"/>
      </w:pPr>
      <w:r>
        <w:rPr>
          <w:rFonts w:ascii="方正仿宋_GBK" w:hAnsi="方正仿宋_GBK" w:eastAsia="方正仿宋_GBK" w:cs="方正仿宋_GBK"/>
          <w:b/>
          <w:color w:val="000000"/>
          <w:sz w:val="28"/>
        </w:rPr>
        <w:t>3、国企干部管理培训工作经费绩效目标表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1.通过增强自身实力，充分发挥培训职能，按时完成培训任务，达到国有企业管理人员培训中心持续开展培训业务，稳步发展的目标。</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保证国有企业及机关相关培训业务</w:t>
            </w:r>
          </w:p>
        </w:tc>
        <w:tc>
          <w:tcPr>
            <w:tcW w:w="2835" w:type="dxa"/>
            <w:vAlign w:val="center"/>
          </w:tcPr>
          <w:p>
            <w:pPr>
              <w:pStyle w:val="32"/>
            </w:pPr>
            <w:r>
              <w:t>每年至少保证2次以上相关业务培训</w:t>
            </w:r>
          </w:p>
        </w:tc>
        <w:tc>
          <w:tcPr>
            <w:tcW w:w="2551" w:type="dxa"/>
            <w:vAlign w:val="center"/>
          </w:tcPr>
          <w:p>
            <w:pPr>
              <w:pStyle w:val="32"/>
            </w:pPr>
            <w:r>
              <w:t>≥2次</w:t>
            </w:r>
          </w:p>
        </w:tc>
        <w:tc>
          <w:tcPr>
            <w:tcW w:w="2268" w:type="dxa"/>
            <w:vAlign w:val="center"/>
          </w:tcPr>
          <w:p>
            <w:pPr>
              <w:pStyle w:val="32"/>
            </w:pPr>
            <w:r>
              <w:t>依据廊坊市国有企业管理人员培训中心接受培训次数确定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费用发放率</w:t>
            </w:r>
          </w:p>
        </w:tc>
        <w:tc>
          <w:tcPr>
            <w:tcW w:w="2835" w:type="dxa"/>
            <w:vAlign w:val="center"/>
          </w:tcPr>
          <w:p>
            <w:pPr>
              <w:pStyle w:val="32"/>
            </w:pPr>
            <w:r>
              <w:t>国有企业管理人员培训中心现有在编人员34人，自行承担的部分每月及时发放到个人</w:t>
            </w:r>
          </w:p>
        </w:tc>
        <w:tc>
          <w:tcPr>
            <w:tcW w:w="2551" w:type="dxa"/>
            <w:vAlign w:val="center"/>
          </w:tcPr>
          <w:p>
            <w:pPr>
              <w:pStyle w:val="32"/>
            </w:pPr>
            <w:r>
              <w:t>100%</w:t>
            </w:r>
          </w:p>
        </w:tc>
        <w:tc>
          <w:tcPr>
            <w:tcW w:w="2268" w:type="dxa"/>
            <w:vAlign w:val="center"/>
          </w:tcPr>
          <w:p>
            <w:pPr>
              <w:pStyle w:val="32"/>
            </w:pPr>
            <w:r>
              <w:t>根据国有企业管理人员培训中心人员工资表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支付及时性</w:t>
            </w:r>
          </w:p>
        </w:tc>
        <w:tc>
          <w:tcPr>
            <w:tcW w:w="2835" w:type="dxa"/>
            <w:vAlign w:val="center"/>
          </w:tcPr>
          <w:p>
            <w:pPr>
              <w:pStyle w:val="32"/>
            </w:pPr>
            <w:r>
              <w:t>按照国有企业管理人员培训中心费用审批情况，按月支付。</w:t>
            </w:r>
          </w:p>
        </w:tc>
        <w:tc>
          <w:tcPr>
            <w:tcW w:w="2551" w:type="dxa"/>
            <w:vAlign w:val="center"/>
          </w:tcPr>
          <w:p>
            <w:pPr>
              <w:pStyle w:val="32"/>
            </w:pPr>
            <w:r>
              <w:t>100%</w:t>
            </w:r>
          </w:p>
        </w:tc>
        <w:tc>
          <w:tcPr>
            <w:tcW w:w="2268" w:type="dxa"/>
            <w:vAlign w:val="center"/>
          </w:tcPr>
          <w:p>
            <w:pPr>
              <w:pStyle w:val="32"/>
            </w:pPr>
            <w:r>
              <w:t>根据国有企业管理人员培训中心费用审批时间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人均补贴水平</w:t>
            </w:r>
          </w:p>
        </w:tc>
        <w:tc>
          <w:tcPr>
            <w:tcW w:w="2835" w:type="dxa"/>
            <w:vAlign w:val="center"/>
          </w:tcPr>
          <w:p>
            <w:pPr>
              <w:pStyle w:val="32"/>
            </w:pPr>
            <w:r>
              <w:t>根据培训中心人数平均分配补贴</w:t>
            </w:r>
          </w:p>
        </w:tc>
        <w:tc>
          <w:tcPr>
            <w:tcW w:w="2551" w:type="dxa"/>
            <w:vAlign w:val="center"/>
          </w:tcPr>
          <w:p>
            <w:pPr>
              <w:pStyle w:val="32"/>
            </w:pPr>
            <w:r>
              <w:t>5万元</w:t>
            </w:r>
          </w:p>
        </w:tc>
        <w:tc>
          <w:tcPr>
            <w:tcW w:w="2268" w:type="dxa"/>
            <w:vAlign w:val="center"/>
          </w:tcPr>
          <w:p>
            <w:pPr>
              <w:pStyle w:val="32"/>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保证培训业务的持续开展</w:t>
            </w:r>
          </w:p>
        </w:tc>
        <w:tc>
          <w:tcPr>
            <w:tcW w:w="2835" w:type="dxa"/>
            <w:vAlign w:val="center"/>
          </w:tcPr>
          <w:p>
            <w:pPr>
              <w:pStyle w:val="32"/>
            </w:pPr>
            <w:r>
              <w:t>保证培训中心业务每年顺利举行并持续开展</w:t>
            </w:r>
          </w:p>
        </w:tc>
        <w:tc>
          <w:tcPr>
            <w:tcW w:w="2551" w:type="dxa"/>
            <w:vAlign w:val="center"/>
          </w:tcPr>
          <w:p>
            <w:pPr>
              <w:pStyle w:val="32"/>
            </w:pPr>
            <w:r>
              <w:t>≥2次</w:t>
            </w:r>
          </w:p>
        </w:tc>
        <w:tc>
          <w:tcPr>
            <w:tcW w:w="2268" w:type="dxa"/>
            <w:vAlign w:val="center"/>
          </w:tcPr>
          <w:p>
            <w:pPr>
              <w:pStyle w:val="32"/>
            </w:pPr>
            <w:r>
              <w:t>根据经营范围及职能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接受国有企业管理人员培训中心的培训人员的满意程度</w:t>
            </w:r>
          </w:p>
        </w:tc>
        <w:tc>
          <w:tcPr>
            <w:tcW w:w="2551" w:type="dxa"/>
            <w:vAlign w:val="center"/>
          </w:tcPr>
          <w:p>
            <w:pPr>
              <w:pStyle w:val="32"/>
            </w:pPr>
            <w:r>
              <w:t>≥90%</w:t>
            </w:r>
          </w:p>
        </w:tc>
        <w:tc>
          <w:tcPr>
            <w:tcW w:w="2268" w:type="dxa"/>
            <w:vAlign w:val="center"/>
          </w:tcPr>
          <w:p>
            <w:pPr>
              <w:pStyle w:val="32"/>
            </w:pPr>
            <w:r>
              <w:t>问卷调查</w:t>
            </w:r>
          </w:p>
        </w:tc>
      </w:tr>
    </w:tbl>
    <w:p>
      <w:pPr>
        <w:pStyle w:val="30"/>
      </w:pPr>
    </w:p>
    <w:p>
      <w:pPr>
        <w:pStyle w:val="30"/>
        <w:ind w:firstLine="560"/>
      </w:pPr>
      <w:r>
        <w:rPr>
          <w:rFonts w:ascii="方正仿宋_GBK" w:hAnsi="方正仿宋_GBK" w:eastAsia="方正仿宋_GBK" w:cs="方正仿宋_GBK"/>
          <w:b/>
          <w:color w:val="000000"/>
          <w:sz w:val="28"/>
        </w:rPr>
        <w:t>4、国企职教幼教退休教师专项补贴资金绩效目标表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1.目标内容1市国资委加强组织协调，各成员单位协同配合，完成551名国企职教幼教退休教师的补贴发放，并保证补贴资金按时足额发放到位，实现维护国企职教幼教退休教师权益和社会和谐稳定。</w:t>
            </w:r>
            <w:r>
              <w:tab/>
            </w:r>
            <w:r>
              <w:tab/>
            </w:r>
            <w:r>
              <w:tab/>
            </w:r>
            <w:r>
              <w:tab/>
            </w:r>
            <w:r>
              <w:tab/>
            </w:r>
            <w:r>
              <w:tab/>
            </w:r>
            <w:r>
              <w:tab/>
            </w:r>
            <w:r>
              <w:tab/>
            </w:r>
            <w:r>
              <w:tab/>
            </w:r>
          </w:p>
          <w:p>
            <w:pPr>
              <w:pStyle w:val="32"/>
            </w:pP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国企职教幼教退休教师发放补贴人数</w:t>
            </w:r>
          </w:p>
        </w:tc>
        <w:tc>
          <w:tcPr>
            <w:tcW w:w="2835" w:type="dxa"/>
            <w:vAlign w:val="center"/>
          </w:tcPr>
          <w:p>
            <w:pPr>
              <w:pStyle w:val="32"/>
            </w:pPr>
            <w:r>
              <w:t>考察国企职教幼教退休教师发放补贴人数情况</w:t>
            </w:r>
          </w:p>
        </w:tc>
        <w:tc>
          <w:tcPr>
            <w:tcW w:w="2551" w:type="dxa"/>
            <w:vAlign w:val="center"/>
          </w:tcPr>
          <w:p>
            <w:pPr>
              <w:pStyle w:val="32"/>
            </w:pPr>
            <w:r>
              <w:t>551名</w:t>
            </w:r>
          </w:p>
        </w:tc>
        <w:tc>
          <w:tcPr>
            <w:tcW w:w="2268" w:type="dxa"/>
            <w:vAlign w:val="center"/>
          </w:tcPr>
          <w:p>
            <w:pPr>
              <w:pStyle w:val="32"/>
            </w:pPr>
            <w:r>
              <w:t>教育局、人社局国有企业职教幼教资格认定人员名单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应补尽补率</w:t>
            </w:r>
          </w:p>
        </w:tc>
        <w:tc>
          <w:tcPr>
            <w:tcW w:w="2835" w:type="dxa"/>
            <w:vAlign w:val="center"/>
          </w:tcPr>
          <w:p>
            <w:pPr>
              <w:pStyle w:val="32"/>
            </w:pPr>
            <w:r>
              <w:t>考察国企职教幼教退休教师补贴发放情况</w:t>
            </w:r>
          </w:p>
        </w:tc>
        <w:tc>
          <w:tcPr>
            <w:tcW w:w="2551" w:type="dxa"/>
            <w:vAlign w:val="center"/>
          </w:tcPr>
          <w:p>
            <w:pPr>
              <w:pStyle w:val="32"/>
            </w:pPr>
            <w:r>
              <w:t>100%</w:t>
            </w:r>
          </w:p>
        </w:tc>
        <w:tc>
          <w:tcPr>
            <w:tcW w:w="2268" w:type="dxa"/>
            <w:vAlign w:val="center"/>
          </w:tcPr>
          <w:p>
            <w:pPr>
              <w:pStyle w:val="32"/>
            </w:pPr>
            <w:r>
              <w:t>国有企业职教幼教退休教师补贴审批表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发放补助及时率</w:t>
            </w:r>
          </w:p>
        </w:tc>
        <w:tc>
          <w:tcPr>
            <w:tcW w:w="2835" w:type="dxa"/>
            <w:vAlign w:val="center"/>
          </w:tcPr>
          <w:p>
            <w:pPr>
              <w:pStyle w:val="32"/>
            </w:pPr>
            <w:r>
              <w:t>考察国企职教幼教退休教师补贴发放时间</w:t>
            </w:r>
          </w:p>
        </w:tc>
        <w:tc>
          <w:tcPr>
            <w:tcW w:w="2551" w:type="dxa"/>
            <w:vAlign w:val="center"/>
          </w:tcPr>
          <w:p>
            <w:pPr>
              <w:pStyle w:val="32"/>
            </w:pPr>
            <w:r>
              <w:t>100%</w:t>
            </w:r>
          </w:p>
        </w:tc>
        <w:tc>
          <w:tcPr>
            <w:tcW w:w="2268" w:type="dxa"/>
            <w:vAlign w:val="center"/>
          </w:tcPr>
          <w:p>
            <w:pPr>
              <w:pStyle w:val="32"/>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考察与当地同类人员待遇差异值</w:t>
            </w:r>
          </w:p>
        </w:tc>
        <w:tc>
          <w:tcPr>
            <w:tcW w:w="2835" w:type="dxa"/>
            <w:vAlign w:val="center"/>
          </w:tcPr>
          <w:p>
            <w:pPr>
              <w:pStyle w:val="32"/>
            </w:pPr>
            <w:r>
              <w:t>考察与当地同类人员待遇差异值</w:t>
            </w:r>
          </w:p>
        </w:tc>
        <w:tc>
          <w:tcPr>
            <w:tcW w:w="2551" w:type="dxa"/>
            <w:vAlign w:val="center"/>
          </w:tcPr>
          <w:p>
            <w:pPr>
              <w:pStyle w:val="32"/>
            </w:pPr>
            <w:r>
              <w:t>&lt;1%</w:t>
            </w:r>
          </w:p>
        </w:tc>
        <w:tc>
          <w:tcPr>
            <w:tcW w:w="2268" w:type="dxa"/>
            <w:vAlign w:val="center"/>
          </w:tcPr>
          <w:p>
            <w:pPr>
              <w:pStyle w:val="32"/>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有责投诉数</w:t>
            </w:r>
          </w:p>
        </w:tc>
        <w:tc>
          <w:tcPr>
            <w:tcW w:w="2835" w:type="dxa"/>
            <w:vAlign w:val="center"/>
          </w:tcPr>
          <w:p>
            <w:pPr>
              <w:pStyle w:val="32"/>
            </w:pPr>
            <w:r>
              <w:t>考察国企职教幼教退休教师对补贴资金投诉情况</w:t>
            </w:r>
          </w:p>
        </w:tc>
        <w:tc>
          <w:tcPr>
            <w:tcW w:w="2551" w:type="dxa"/>
            <w:vAlign w:val="center"/>
          </w:tcPr>
          <w:p>
            <w:pPr>
              <w:pStyle w:val="32"/>
            </w:pPr>
            <w:r>
              <w:t>&lt;20起</w:t>
            </w:r>
          </w:p>
        </w:tc>
        <w:tc>
          <w:tcPr>
            <w:tcW w:w="2268" w:type="dxa"/>
            <w:vAlign w:val="center"/>
          </w:tcPr>
          <w:p>
            <w:pPr>
              <w:pStyle w:val="3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长效管理机制健全性</w:t>
            </w:r>
          </w:p>
        </w:tc>
        <w:tc>
          <w:tcPr>
            <w:tcW w:w="2835" w:type="dxa"/>
            <w:vAlign w:val="center"/>
          </w:tcPr>
          <w:p>
            <w:pPr>
              <w:pStyle w:val="32"/>
            </w:pPr>
            <w:r>
              <w:t>考察国企职教幼教退休教师专项补贴资金后续管理机制</w:t>
            </w:r>
          </w:p>
        </w:tc>
        <w:tc>
          <w:tcPr>
            <w:tcW w:w="2551" w:type="dxa"/>
            <w:vAlign w:val="center"/>
          </w:tcPr>
          <w:p>
            <w:pPr>
              <w:pStyle w:val="32"/>
            </w:pPr>
            <w:r>
              <w:t>健全</w:t>
            </w:r>
          </w:p>
        </w:tc>
        <w:tc>
          <w:tcPr>
            <w:tcW w:w="2268" w:type="dxa"/>
            <w:vAlign w:val="center"/>
          </w:tcPr>
          <w:p>
            <w:pPr>
              <w:pStyle w:val="32"/>
            </w:pPr>
            <w:r>
              <w:t>长效管理办法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档案管理机制健全性</w:t>
            </w:r>
          </w:p>
        </w:tc>
        <w:tc>
          <w:tcPr>
            <w:tcW w:w="2835" w:type="dxa"/>
            <w:vAlign w:val="center"/>
          </w:tcPr>
          <w:p>
            <w:pPr>
              <w:pStyle w:val="32"/>
            </w:pPr>
            <w:r>
              <w:t>考察国企职教幼教退休教师专项补贴资金相关档案管理制度及档案文件归档情况</w:t>
            </w:r>
          </w:p>
        </w:tc>
        <w:tc>
          <w:tcPr>
            <w:tcW w:w="2551" w:type="dxa"/>
            <w:vAlign w:val="center"/>
          </w:tcPr>
          <w:p>
            <w:pPr>
              <w:pStyle w:val="32"/>
            </w:pPr>
            <w:r>
              <w:t>健全</w:t>
            </w:r>
          </w:p>
        </w:tc>
        <w:tc>
          <w:tcPr>
            <w:tcW w:w="2268" w:type="dxa"/>
            <w:vAlign w:val="center"/>
          </w:tcPr>
          <w:p>
            <w:pPr>
              <w:pStyle w:val="32"/>
            </w:pPr>
            <w:r>
              <w:t>档案管理制度、相关档案文件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服务对象满意度指标</w:t>
            </w:r>
          </w:p>
        </w:tc>
        <w:tc>
          <w:tcPr>
            <w:tcW w:w="2835" w:type="dxa"/>
            <w:vAlign w:val="center"/>
          </w:tcPr>
          <w:p>
            <w:pPr>
              <w:pStyle w:val="32"/>
            </w:pPr>
            <w:r>
              <w:t>接受补贴资金国企职教幼教退休教师满意度</w:t>
            </w:r>
          </w:p>
        </w:tc>
        <w:tc>
          <w:tcPr>
            <w:tcW w:w="2551" w:type="dxa"/>
            <w:vAlign w:val="center"/>
          </w:tcPr>
          <w:p>
            <w:pPr>
              <w:pStyle w:val="32"/>
            </w:pPr>
            <w:r>
              <w:t>≥90%</w:t>
            </w:r>
          </w:p>
        </w:tc>
        <w:tc>
          <w:tcPr>
            <w:tcW w:w="2268" w:type="dxa"/>
            <w:vAlign w:val="center"/>
          </w:tcPr>
          <w:p>
            <w:pPr>
              <w:pStyle w:val="32"/>
            </w:pPr>
            <w:r>
              <w:t>问卷调查或结合有责投诉情况</w:t>
            </w:r>
          </w:p>
        </w:tc>
      </w:tr>
    </w:tbl>
    <w:p>
      <w:pPr>
        <w:pStyle w:val="30"/>
      </w:pPr>
    </w:p>
    <w:p>
      <w:pPr>
        <w:pStyle w:val="30"/>
        <w:ind w:firstLine="560"/>
      </w:pPr>
      <w:r>
        <w:rPr>
          <w:rFonts w:ascii="方正仿宋_GBK" w:hAnsi="方正仿宋_GBK" w:eastAsia="方正仿宋_GBK" w:cs="方正仿宋_GBK"/>
          <w:b/>
          <w:color w:val="000000"/>
          <w:sz w:val="28"/>
        </w:rPr>
        <w:t>5、国资委视频会议系统建设资金绩效目标表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1.与国家和省上下贯通，加快形成国资监管一盘棋。</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硬件采购/数（台）</w:t>
            </w:r>
          </w:p>
        </w:tc>
        <w:tc>
          <w:tcPr>
            <w:tcW w:w="2835" w:type="dxa"/>
            <w:vAlign w:val="center"/>
          </w:tcPr>
          <w:p>
            <w:pPr>
              <w:pStyle w:val="32"/>
            </w:pPr>
            <w:r>
              <w:t>会议硬件采购数量</w:t>
            </w:r>
          </w:p>
        </w:tc>
        <w:tc>
          <w:tcPr>
            <w:tcW w:w="2551" w:type="dxa"/>
            <w:vAlign w:val="center"/>
          </w:tcPr>
          <w:p>
            <w:pPr>
              <w:pStyle w:val="32"/>
            </w:pPr>
            <w:r>
              <w:t>≤30个</w:t>
            </w:r>
          </w:p>
        </w:tc>
        <w:tc>
          <w:tcPr>
            <w:tcW w:w="2268" w:type="dxa"/>
            <w:vAlign w:val="center"/>
          </w:tcPr>
          <w:p>
            <w:pPr>
              <w:pStyle w:val="32"/>
            </w:pPr>
            <w:r>
              <w:t>根据实际需求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系统验收合格率</w:t>
            </w:r>
          </w:p>
        </w:tc>
        <w:tc>
          <w:tcPr>
            <w:tcW w:w="2835" w:type="dxa"/>
            <w:vAlign w:val="center"/>
          </w:tcPr>
          <w:p>
            <w:pPr>
              <w:pStyle w:val="32"/>
            </w:pPr>
            <w:r>
              <w:t>系统验收合格率=系统验收合格数量/系统总数量*100%</w:t>
            </w:r>
          </w:p>
        </w:tc>
        <w:tc>
          <w:tcPr>
            <w:tcW w:w="2551" w:type="dxa"/>
            <w:vAlign w:val="center"/>
          </w:tcPr>
          <w:p>
            <w:pPr>
              <w:pStyle w:val="32"/>
            </w:pPr>
            <w:r>
              <w:t>≥50%</w:t>
            </w:r>
          </w:p>
        </w:tc>
        <w:tc>
          <w:tcPr>
            <w:tcW w:w="2268" w:type="dxa"/>
            <w:vAlign w:val="center"/>
          </w:tcPr>
          <w:p>
            <w:pPr>
              <w:pStyle w:val="3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业务处理及时性</w:t>
            </w:r>
          </w:p>
        </w:tc>
        <w:tc>
          <w:tcPr>
            <w:tcW w:w="2835" w:type="dxa"/>
            <w:vAlign w:val="center"/>
          </w:tcPr>
          <w:p>
            <w:pPr>
              <w:pStyle w:val="32"/>
            </w:pPr>
            <w:r>
              <w:t>及时处理业务数占总处理数的比率</w:t>
            </w:r>
          </w:p>
        </w:tc>
        <w:tc>
          <w:tcPr>
            <w:tcW w:w="2551" w:type="dxa"/>
            <w:vAlign w:val="center"/>
          </w:tcPr>
          <w:p>
            <w:pPr>
              <w:pStyle w:val="32"/>
            </w:pPr>
            <w:r>
              <w:t>≤98%</w:t>
            </w:r>
          </w:p>
        </w:tc>
        <w:tc>
          <w:tcPr>
            <w:tcW w:w="2268" w:type="dxa"/>
            <w:vAlign w:val="center"/>
          </w:tcPr>
          <w:p>
            <w:pPr>
              <w:pStyle w:val="32"/>
            </w:pPr>
            <w:r>
              <w:t>根据验收报告完成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软/硬件采购单位成本</w:t>
            </w:r>
          </w:p>
        </w:tc>
        <w:tc>
          <w:tcPr>
            <w:tcW w:w="2835" w:type="dxa"/>
            <w:vAlign w:val="center"/>
          </w:tcPr>
          <w:p>
            <w:pPr>
              <w:pStyle w:val="32"/>
            </w:pPr>
            <w:r>
              <w:t>软/硬件采购单台（套）成本</w:t>
            </w:r>
          </w:p>
        </w:tc>
        <w:tc>
          <w:tcPr>
            <w:tcW w:w="2551" w:type="dxa"/>
            <w:vAlign w:val="center"/>
          </w:tcPr>
          <w:p>
            <w:pPr>
              <w:pStyle w:val="32"/>
            </w:pPr>
            <w:r>
              <w:t>≤8万元</w:t>
            </w:r>
          </w:p>
        </w:tc>
        <w:tc>
          <w:tcPr>
            <w:tcW w:w="2268" w:type="dxa"/>
            <w:vAlign w:val="center"/>
          </w:tcPr>
          <w:p>
            <w:pPr>
              <w:pStyle w:val="32"/>
            </w:pPr>
            <w:r>
              <w:t>根据报价完成情况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出行减少率</w:t>
            </w:r>
          </w:p>
        </w:tc>
        <w:tc>
          <w:tcPr>
            <w:tcW w:w="2835" w:type="dxa"/>
            <w:vAlign w:val="center"/>
          </w:tcPr>
          <w:p>
            <w:pPr>
              <w:pStyle w:val="32"/>
            </w:pPr>
            <w:r>
              <w:t>项目实施后出行减少量占项目实施前出行减少量的比率</w:t>
            </w:r>
          </w:p>
        </w:tc>
        <w:tc>
          <w:tcPr>
            <w:tcW w:w="2551" w:type="dxa"/>
            <w:vAlign w:val="center"/>
          </w:tcPr>
          <w:p>
            <w:pPr>
              <w:pStyle w:val="32"/>
            </w:pPr>
            <w:r>
              <w:t>≤10%</w:t>
            </w:r>
          </w:p>
        </w:tc>
        <w:tc>
          <w:tcPr>
            <w:tcW w:w="2268" w:type="dxa"/>
            <w:vAlign w:val="center"/>
          </w:tcPr>
          <w:p>
            <w:pPr>
              <w:pStyle w:val="32"/>
            </w:pPr>
            <w:r>
              <w:t>根据实际需求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设备使用率=信息设备或建设的系统使用台数（或功能）/设备总（功能）数×100%</w:t>
            </w:r>
          </w:p>
        </w:tc>
        <w:tc>
          <w:tcPr>
            <w:tcW w:w="2551" w:type="dxa"/>
            <w:vAlign w:val="center"/>
          </w:tcPr>
          <w:p>
            <w:pPr>
              <w:pStyle w:val="32"/>
            </w:pPr>
            <w:r>
              <w:t>≤98%</w:t>
            </w:r>
          </w:p>
        </w:tc>
        <w:tc>
          <w:tcPr>
            <w:tcW w:w="2268" w:type="dxa"/>
            <w:vAlign w:val="center"/>
          </w:tcPr>
          <w:p>
            <w:pPr>
              <w:pStyle w:val="32"/>
            </w:pPr>
            <w:r>
              <w:t>根据实际完成情况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软件（硬件）、系统正常使用年限</w:t>
            </w:r>
          </w:p>
        </w:tc>
        <w:tc>
          <w:tcPr>
            <w:tcW w:w="2835" w:type="dxa"/>
            <w:vAlign w:val="center"/>
          </w:tcPr>
          <w:p>
            <w:pPr>
              <w:pStyle w:val="32"/>
            </w:pPr>
            <w:r>
              <w:t>购买的软、硬件或系统可正常使用的期限</w:t>
            </w:r>
          </w:p>
        </w:tc>
        <w:tc>
          <w:tcPr>
            <w:tcW w:w="2551" w:type="dxa"/>
            <w:vAlign w:val="center"/>
          </w:tcPr>
          <w:p>
            <w:pPr>
              <w:pStyle w:val="32"/>
            </w:pPr>
            <w:r>
              <w:t>≤1年</w:t>
            </w:r>
          </w:p>
        </w:tc>
        <w:tc>
          <w:tcPr>
            <w:tcW w:w="2268" w:type="dxa"/>
            <w:vAlign w:val="center"/>
          </w:tcPr>
          <w:p>
            <w:pPr>
              <w:pStyle w:val="32"/>
            </w:pPr>
            <w:r>
              <w:t>根据合同完成情况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通用设备运行（或应用软件）的满意</w:t>
            </w:r>
          </w:p>
        </w:tc>
        <w:tc>
          <w:tcPr>
            <w:tcW w:w="2835" w:type="dxa"/>
            <w:vAlign w:val="center"/>
          </w:tcPr>
          <w:p>
            <w:pPr>
              <w:pStyle w:val="32"/>
            </w:pPr>
            <w:r>
              <w:t>服务申请单中满意的数量占服务申请总数量的比率</w:t>
            </w:r>
          </w:p>
        </w:tc>
        <w:tc>
          <w:tcPr>
            <w:tcW w:w="2551" w:type="dxa"/>
            <w:vAlign w:val="center"/>
          </w:tcPr>
          <w:p>
            <w:pPr>
              <w:pStyle w:val="32"/>
            </w:pPr>
            <w:r>
              <w:t>≥95%</w:t>
            </w:r>
          </w:p>
        </w:tc>
        <w:tc>
          <w:tcPr>
            <w:tcW w:w="2268" w:type="dxa"/>
            <w:vAlign w:val="center"/>
          </w:tcPr>
          <w:p>
            <w:pPr>
              <w:pStyle w:val="32"/>
            </w:pPr>
            <w:r>
              <w:t>根据客户满意度调研</w:t>
            </w:r>
          </w:p>
        </w:tc>
      </w:tr>
    </w:tbl>
    <w:p>
      <w:pPr>
        <w:pStyle w:val="30"/>
      </w:pPr>
    </w:p>
    <w:p>
      <w:pPr>
        <w:pStyle w:val="30"/>
        <w:ind w:firstLine="560"/>
      </w:pPr>
      <w:r>
        <w:rPr>
          <w:rFonts w:ascii="方正仿宋_GBK" w:hAnsi="方正仿宋_GBK" w:eastAsia="方正仿宋_GBK" w:cs="方正仿宋_GBK"/>
          <w:b/>
          <w:color w:val="000000"/>
          <w:sz w:val="28"/>
        </w:rPr>
        <w:t>6、河北省农业机械集团廊坊公司解决历史遗留问题资金绩效目标表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通过单位养老保险、医疗保险缴纳项目的开展，按事业单位人员档案工资标准表的人数、金额100%缴纳。干部职工按时办理退休、看病享受国家医疗报销，保证企业基本的经营运转，实现消除不利影响，确保维护公司稳定目标的达成。</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缴纳社保人数</w:t>
            </w:r>
          </w:p>
        </w:tc>
        <w:tc>
          <w:tcPr>
            <w:tcW w:w="2835" w:type="dxa"/>
            <w:vAlign w:val="center"/>
          </w:tcPr>
          <w:p>
            <w:pPr>
              <w:pStyle w:val="32"/>
            </w:pPr>
            <w:r>
              <w:t>按事业单位人员档案工资标准表</w:t>
            </w:r>
          </w:p>
        </w:tc>
        <w:tc>
          <w:tcPr>
            <w:tcW w:w="2551" w:type="dxa"/>
            <w:vAlign w:val="center"/>
          </w:tcPr>
          <w:p>
            <w:pPr>
              <w:pStyle w:val="32"/>
            </w:pPr>
            <w:r>
              <w:t>≤50人</w:t>
            </w:r>
          </w:p>
        </w:tc>
        <w:tc>
          <w:tcPr>
            <w:tcW w:w="2268" w:type="dxa"/>
            <w:vAlign w:val="center"/>
          </w:tcPr>
          <w:p>
            <w:pPr>
              <w:pStyle w:val="32"/>
            </w:pPr>
            <w:r>
              <w:t>根据事业单位人员档案工资标准表人数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养老保险、医疗保险覆盖率、发放精准率</w:t>
            </w:r>
          </w:p>
        </w:tc>
        <w:tc>
          <w:tcPr>
            <w:tcW w:w="2835" w:type="dxa"/>
            <w:vAlign w:val="center"/>
          </w:tcPr>
          <w:p>
            <w:pPr>
              <w:pStyle w:val="32"/>
            </w:pPr>
            <w:r>
              <w:t>事业单位人员档案工资表覆盖率、缴纳合规人数占发放总人数的比例</w:t>
            </w:r>
          </w:p>
        </w:tc>
        <w:tc>
          <w:tcPr>
            <w:tcW w:w="2551" w:type="dxa"/>
            <w:vAlign w:val="center"/>
          </w:tcPr>
          <w:p>
            <w:pPr>
              <w:pStyle w:val="32"/>
            </w:pPr>
            <w:r>
              <w:t>100%</w:t>
            </w:r>
          </w:p>
        </w:tc>
        <w:tc>
          <w:tcPr>
            <w:tcW w:w="2268" w:type="dxa"/>
            <w:vAlign w:val="center"/>
          </w:tcPr>
          <w:p>
            <w:pPr>
              <w:pStyle w:val="32"/>
            </w:pPr>
            <w:r>
              <w:t>根据事业单位人员档案工资标准表人数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养老保险、医疗保险及时缴纳</w:t>
            </w:r>
          </w:p>
        </w:tc>
        <w:tc>
          <w:tcPr>
            <w:tcW w:w="2835" w:type="dxa"/>
            <w:vAlign w:val="center"/>
          </w:tcPr>
          <w:p>
            <w:pPr>
              <w:pStyle w:val="32"/>
            </w:pPr>
            <w:r>
              <w:t>是否及时</w:t>
            </w:r>
          </w:p>
        </w:tc>
        <w:tc>
          <w:tcPr>
            <w:tcW w:w="2551" w:type="dxa"/>
            <w:vAlign w:val="center"/>
          </w:tcPr>
          <w:p>
            <w:pPr>
              <w:pStyle w:val="32"/>
            </w:pPr>
            <w:r>
              <w:t>100%</w:t>
            </w:r>
          </w:p>
        </w:tc>
        <w:tc>
          <w:tcPr>
            <w:tcW w:w="2268" w:type="dxa"/>
            <w:vAlign w:val="center"/>
          </w:tcPr>
          <w:p>
            <w:pPr>
              <w:pStyle w:val="32"/>
            </w:pPr>
            <w:r>
              <w:t>根据事业单位人员档案工资标准表人数及社保缴费比例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人均养老保险、医疗保险标准</w:t>
            </w:r>
          </w:p>
        </w:tc>
        <w:tc>
          <w:tcPr>
            <w:tcW w:w="2835" w:type="dxa"/>
            <w:vAlign w:val="center"/>
          </w:tcPr>
          <w:p>
            <w:pPr>
              <w:pStyle w:val="32"/>
            </w:pPr>
            <w:r>
              <w:t>人均养老保险缴纳标准</w:t>
            </w:r>
          </w:p>
        </w:tc>
        <w:tc>
          <w:tcPr>
            <w:tcW w:w="2551" w:type="dxa"/>
            <w:vAlign w:val="center"/>
          </w:tcPr>
          <w:p>
            <w:pPr>
              <w:pStyle w:val="32"/>
            </w:pPr>
            <w:r>
              <w:t>≥6127.68元/人</w:t>
            </w:r>
          </w:p>
        </w:tc>
        <w:tc>
          <w:tcPr>
            <w:tcW w:w="2268" w:type="dxa"/>
            <w:vAlign w:val="center"/>
          </w:tcPr>
          <w:p>
            <w:pPr>
              <w:pStyle w:val="32"/>
            </w:pPr>
            <w:r>
              <w:t>根据事业单位人员档案工资标准表人数及社保缴费比例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人均养老保险、医疗保险标准</w:t>
            </w:r>
          </w:p>
        </w:tc>
        <w:tc>
          <w:tcPr>
            <w:tcW w:w="2835" w:type="dxa"/>
            <w:vAlign w:val="center"/>
          </w:tcPr>
          <w:p>
            <w:pPr>
              <w:pStyle w:val="32"/>
            </w:pPr>
            <w:r>
              <w:t>人均医疗保险缴纳标准</w:t>
            </w:r>
          </w:p>
        </w:tc>
        <w:tc>
          <w:tcPr>
            <w:tcW w:w="2551" w:type="dxa"/>
            <w:vAlign w:val="center"/>
          </w:tcPr>
          <w:p>
            <w:pPr>
              <w:pStyle w:val="32"/>
            </w:pPr>
            <w:r>
              <w:t>≥18362.53元/人</w:t>
            </w:r>
          </w:p>
        </w:tc>
        <w:tc>
          <w:tcPr>
            <w:tcW w:w="2268" w:type="dxa"/>
            <w:vAlign w:val="center"/>
          </w:tcPr>
          <w:p>
            <w:pPr>
              <w:pStyle w:val="32"/>
            </w:pPr>
            <w:r>
              <w:t>根据事业单位人员档案工资标准表人数及社保缴费比例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干部职工生活水平提高程度</w:t>
            </w:r>
          </w:p>
        </w:tc>
        <w:tc>
          <w:tcPr>
            <w:tcW w:w="2835" w:type="dxa"/>
            <w:vAlign w:val="center"/>
          </w:tcPr>
          <w:p>
            <w:pPr>
              <w:pStyle w:val="32"/>
            </w:pPr>
            <w:r>
              <w:t>干部职工生活水平是否提高</w:t>
            </w:r>
          </w:p>
        </w:tc>
        <w:tc>
          <w:tcPr>
            <w:tcW w:w="2551" w:type="dxa"/>
            <w:vAlign w:val="center"/>
          </w:tcPr>
          <w:p>
            <w:pPr>
              <w:pStyle w:val="32"/>
            </w:pPr>
            <w:r>
              <w:t>享受养老保险、医疗保险待遇</w:t>
            </w:r>
          </w:p>
        </w:tc>
        <w:tc>
          <w:tcPr>
            <w:tcW w:w="2268" w:type="dxa"/>
            <w:vAlign w:val="center"/>
          </w:tcPr>
          <w:p>
            <w:pPr>
              <w:pStyle w:val="32"/>
            </w:pPr>
            <w:r>
              <w:t>养老保险、医疗保险及时缴纳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稳定</w:t>
            </w:r>
          </w:p>
        </w:tc>
        <w:tc>
          <w:tcPr>
            <w:tcW w:w="2835" w:type="dxa"/>
            <w:vAlign w:val="center"/>
          </w:tcPr>
          <w:p>
            <w:pPr>
              <w:pStyle w:val="32"/>
            </w:pPr>
            <w:r>
              <w:t>实现消除不利影响</w:t>
            </w:r>
          </w:p>
        </w:tc>
        <w:tc>
          <w:tcPr>
            <w:tcW w:w="2551" w:type="dxa"/>
            <w:vAlign w:val="center"/>
          </w:tcPr>
          <w:p>
            <w:pPr>
              <w:pStyle w:val="32"/>
            </w:pPr>
            <w:r>
              <w:t>职工情绪是否稳定</w:t>
            </w:r>
          </w:p>
        </w:tc>
        <w:tc>
          <w:tcPr>
            <w:tcW w:w="2268" w:type="dxa"/>
            <w:vAlign w:val="center"/>
          </w:tcPr>
          <w:p>
            <w:pPr>
              <w:pStyle w:val="32"/>
            </w:pPr>
            <w:r>
              <w:t>养老保险、医疗保险及时缴纳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干部职工</w:t>
            </w:r>
          </w:p>
        </w:tc>
        <w:tc>
          <w:tcPr>
            <w:tcW w:w="2835" w:type="dxa"/>
            <w:vAlign w:val="center"/>
          </w:tcPr>
          <w:p>
            <w:pPr>
              <w:pStyle w:val="32"/>
            </w:pPr>
            <w:r>
              <w:t>满意度</w:t>
            </w:r>
          </w:p>
        </w:tc>
        <w:tc>
          <w:tcPr>
            <w:tcW w:w="2551" w:type="dxa"/>
            <w:vAlign w:val="center"/>
          </w:tcPr>
          <w:p>
            <w:pPr>
              <w:pStyle w:val="32"/>
            </w:pPr>
            <w:r>
              <w:t>100%</w:t>
            </w:r>
          </w:p>
        </w:tc>
        <w:tc>
          <w:tcPr>
            <w:tcW w:w="2268" w:type="dxa"/>
            <w:vAlign w:val="center"/>
          </w:tcPr>
          <w:p>
            <w:pPr>
              <w:pStyle w:val="32"/>
            </w:pPr>
            <w:r>
              <w:t>养老保险、医疗保险及时缴纳</w:t>
            </w:r>
          </w:p>
        </w:tc>
      </w:tr>
    </w:tbl>
    <w:p>
      <w:pPr>
        <w:pStyle w:val="30"/>
      </w:pPr>
    </w:p>
    <w:p>
      <w:pPr>
        <w:pStyle w:val="30"/>
        <w:ind w:firstLine="560"/>
      </w:pPr>
      <w:r>
        <w:rPr>
          <w:rFonts w:ascii="方正仿宋_GBK" w:hAnsi="方正仿宋_GBK" w:eastAsia="方正仿宋_GBK" w:cs="方正仿宋_GBK"/>
          <w:b/>
          <w:color w:val="000000"/>
          <w:sz w:val="28"/>
        </w:rPr>
        <w:t>7、廊坊高新技术产业开发区公交场站项目资金绩效目标表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1.计划于2022年12月底前完成该项目前期手续办理工作及基础施工建设工作。</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项目占地面积</w:t>
            </w:r>
          </w:p>
        </w:tc>
        <w:tc>
          <w:tcPr>
            <w:tcW w:w="2835" w:type="dxa"/>
            <w:vAlign w:val="center"/>
          </w:tcPr>
          <w:p>
            <w:pPr>
              <w:pStyle w:val="32"/>
            </w:pPr>
            <w:r>
              <w:t>项目总用地面积</w:t>
            </w:r>
          </w:p>
        </w:tc>
        <w:tc>
          <w:tcPr>
            <w:tcW w:w="2551" w:type="dxa"/>
            <w:vAlign w:val="center"/>
          </w:tcPr>
          <w:p>
            <w:pPr>
              <w:pStyle w:val="32"/>
            </w:pPr>
            <w:r>
              <w:t>20000平方米</w:t>
            </w:r>
          </w:p>
        </w:tc>
        <w:tc>
          <w:tcPr>
            <w:tcW w:w="2268" w:type="dxa"/>
            <w:vAlign w:val="center"/>
          </w:tcPr>
          <w:p>
            <w:pPr>
              <w:pStyle w:val="32"/>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基础完工验收通过率</w:t>
            </w:r>
          </w:p>
        </w:tc>
        <w:tc>
          <w:tcPr>
            <w:tcW w:w="2835" w:type="dxa"/>
            <w:vAlign w:val="center"/>
          </w:tcPr>
          <w:p>
            <w:pPr>
              <w:pStyle w:val="32"/>
            </w:pPr>
            <w:r>
              <w:t>公交场站基础完工验收合格情况</w:t>
            </w:r>
          </w:p>
        </w:tc>
        <w:tc>
          <w:tcPr>
            <w:tcW w:w="2551" w:type="dxa"/>
            <w:vAlign w:val="center"/>
          </w:tcPr>
          <w:p>
            <w:pPr>
              <w:pStyle w:val="32"/>
            </w:pPr>
            <w:r>
              <w:t>100%</w:t>
            </w:r>
          </w:p>
        </w:tc>
        <w:tc>
          <w:tcPr>
            <w:tcW w:w="2268" w:type="dxa"/>
            <w:vAlign w:val="center"/>
          </w:tcPr>
          <w:p>
            <w:pPr>
              <w:pStyle w:val="32"/>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基础完工验收时间</w:t>
            </w:r>
          </w:p>
        </w:tc>
        <w:tc>
          <w:tcPr>
            <w:tcW w:w="2835" w:type="dxa"/>
            <w:vAlign w:val="center"/>
          </w:tcPr>
          <w:p>
            <w:pPr>
              <w:pStyle w:val="32"/>
            </w:pPr>
            <w:r>
              <w:t>基础完工验收完成时间</w:t>
            </w:r>
          </w:p>
        </w:tc>
        <w:tc>
          <w:tcPr>
            <w:tcW w:w="2551" w:type="dxa"/>
            <w:vAlign w:val="center"/>
          </w:tcPr>
          <w:p>
            <w:pPr>
              <w:pStyle w:val="32"/>
            </w:pPr>
            <w:r>
              <w:t>2022年12月31日</w:t>
            </w:r>
          </w:p>
        </w:tc>
        <w:tc>
          <w:tcPr>
            <w:tcW w:w="2268" w:type="dxa"/>
            <w:vAlign w:val="center"/>
          </w:tcPr>
          <w:p>
            <w:pPr>
              <w:pStyle w:val="32"/>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项目成本</w:t>
            </w:r>
          </w:p>
        </w:tc>
        <w:tc>
          <w:tcPr>
            <w:tcW w:w="2835" w:type="dxa"/>
            <w:vAlign w:val="center"/>
          </w:tcPr>
          <w:p>
            <w:pPr>
              <w:pStyle w:val="32"/>
            </w:pPr>
            <w:r>
              <w:t>2022年度项目所需资金</w:t>
            </w:r>
          </w:p>
        </w:tc>
        <w:tc>
          <w:tcPr>
            <w:tcW w:w="2551" w:type="dxa"/>
            <w:vAlign w:val="center"/>
          </w:tcPr>
          <w:p>
            <w:pPr>
              <w:pStyle w:val="32"/>
            </w:pPr>
            <w:r>
              <w:t>≤1200万元</w:t>
            </w:r>
          </w:p>
        </w:tc>
        <w:tc>
          <w:tcPr>
            <w:tcW w:w="2268" w:type="dxa"/>
            <w:vAlign w:val="center"/>
          </w:tcPr>
          <w:p>
            <w:pPr>
              <w:pStyle w:val="32"/>
            </w:pPr>
            <w:r>
              <w:t>廊发改投资[2021]266号文件、廊交[2020]362号文件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开通高新区公交线路</w:t>
            </w:r>
          </w:p>
        </w:tc>
        <w:tc>
          <w:tcPr>
            <w:tcW w:w="2835" w:type="dxa"/>
            <w:vAlign w:val="center"/>
          </w:tcPr>
          <w:p>
            <w:pPr>
              <w:pStyle w:val="32"/>
            </w:pPr>
            <w:r>
              <w:t>开通高新区公交线路，推进安次区公交全覆盖工作</w:t>
            </w:r>
          </w:p>
        </w:tc>
        <w:tc>
          <w:tcPr>
            <w:tcW w:w="2551" w:type="dxa"/>
            <w:vAlign w:val="center"/>
          </w:tcPr>
          <w:p>
            <w:pPr>
              <w:pStyle w:val="32"/>
            </w:pPr>
            <w:r>
              <w:t>5条</w:t>
            </w:r>
          </w:p>
        </w:tc>
        <w:tc>
          <w:tcPr>
            <w:tcW w:w="2268" w:type="dxa"/>
            <w:vAlign w:val="center"/>
          </w:tcPr>
          <w:p>
            <w:pPr>
              <w:pStyle w:val="32"/>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乘客满意度</w:t>
            </w:r>
          </w:p>
        </w:tc>
        <w:tc>
          <w:tcPr>
            <w:tcW w:w="2835" w:type="dxa"/>
            <w:vAlign w:val="center"/>
          </w:tcPr>
          <w:p>
            <w:pPr>
              <w:pStyle w:val="32"/>
            </w:pPr>
            <w:r>
              <w:t>公交乘客满意度</w:t>
            </w:r>
          </w:p>
        </w:tc>
        <w:tc>
          <w:tcPr>
            <w:tcW w:w="2551" w:type="dxa"/>
            <w:vAlign w:val="center"/>
          </w:tcPr>
          <w:p>
            <w:pPr>
              <w:pStyle w:val="32"/>
            </w:pPr>
            <w:r>
              <w:t>≥90%</w:t>
            </w:r>
          </w:p>
        </w:tc>
        <w:tc>
          <w:tcPr>
            <w:tcW w:w="2268" w:type="dxa"/>
            <w:vAlign w:val="center"/>
          </w:tcPr>
          <w:p>
            <w:pPr>
              <w:pStyle w:val="32"/>
            </w:pPr>
            <w:r>
              <w:t>调查统计表</w:t>
            </w:r>
          </w:p>
        </w:tc>
      </w:tr>
    </w:tbl>
    <w:p>
      <w:pPr>
        <w:pStyle w:val="30"/>
      </w:pPr>
    </w:p>
    <w:p>
      <w:pPr>
        <w:pStyle w:val="30"/>
        <w:ind w:firstLine="560"/>
      </w:pPr>
      <w:r>
        <w:rPr>
          <w:rFonts w:ascii="方正仿宋_GBK" w:hAnsi="方正仿宋_GBK" w:eastAsia="方正仿宋_GBK" w:cs="方正仿宋_GBK"/>
          <w:b/>
          <w:color w:val="000000"/>
          <w:sz w:val="28"/>
        </w:rPr>
        <w:t>8、廊坊交通运输集团有限公司全域公交一体化项目资金绩效目标表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1.开通廊坊与“北三县公交线路”，新增公交车38部，新增线路3条，规划使用“快速公交+普通公交”的两层次公交客运网络规划，满足不同层次的公交出行需求。</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纯电公交车</w:t>
            </w:r>
          </w:p>
        </w:tc>
        <w:tc>
          <w:tcPr>
            <w:tcW w:w="2835" w:type="dxa"/>
            <w:vAlign w:val="center"/>
          </w:tcPr>
          <w:p>
            <w:pPr>
              <w:pStyle w:val="32"/>
            </w:pPr>
            <w:r>
              <w:t>购买运营纯电公交车</w:t>
            </w:r>
          </w:p>
        </w:tc>
        <w:tc>
          <w:tcPr>
            <w:tcW w:w="2551" w:type="dxa"/>
            <w:vAlign w:val="center"/>
          </w:tcPr>
          <w:p>
            <w:pPr>
              <w:pStyle w:val="32"/>
            </w:pPr>
            <w:r>
              <w:t>≤12辆</w:t>
            </w:r>
          </w:p>
        </w:tc>
        <w:tc>
          <w:tcPr>
            <w:tcW w:w="2268" w:type="dxa"/>
            <w:vAlign w:val="center"/>
          </w:tcPr>
          <w:p>
            <w:pPr>
              <w:pStyle w:val="32"/>
            </w:pPr>
            <w:r>
              <w:t>车辆购入凭证发票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充电桩</w:t>
            </w:r>
          </w:p>
        </w:tc>
        <w:tc>
          <w:tcPr>
            <w:tcW w:w="2835" w:type="dxa"/>
            <w:vAlign w:val="center"/>
          </w:tcPr>
          <w:p>
            <w:pPr>
              <w:pStyle w:val="32"/>
            </w:pPr>
            <w:r>
              <w:t>建设充电桩</w:t>
            </w:r>
          </w:p>
        </w:tc>
        <w:tc>
          <w:tcPr>
            <w:tcW w:w="2551" w:type="dxa"/>
            <w:vAlign w:val="center"/>
          </w:tcPr>
          <w:p>
            <w:pPr>
              <w:pStyle w:val="32"/>
            </w:pPr>
            <w:r>
              <w:t>≤14个</w:t>
            </w:r>
          </w:p>
        </w:tc>
        <w:tc>
          <w:tcPr>
            <w:tcW w:w="2268" w:type="dxa"/>
            <w:vAlign w:val="center"/>
          </w:tcPr>
          <w:p>
            <w:pPr>
              <w:pStyle w:val="32"/>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630KAV变压器</w:t>
            </w:r>
          </w:p>
        </w:tc>
        <w:tc>
          <w:tcPr>
            <w:tcW w:w="2835" w:type="dxa"/>
            <w:vAlign w:val="center"/>
          </w:tcPr>
          <w:p>
            <w:pPr>
              <w:pStyle w:val="32"/>
            </w:pPr>
            <w:r>
              <w:t>安装变压器</w:t>
            </w:r>
          </w:p>
        </w:tc>
        <w:tc>
          <w:tcPr>
            <w:tcW w:w="2551" w:type="dxa"/>
            <w:vAlign w:val="center"/>
          </w:tcPr>
          <w:p>
            <w:pPr>
              <w:pStyle w:val="32"/>
            </w:pPr>
            <w:r>
              <w:t>≤3个</w:t>
            </w:r>
          </w:p>
        </w:tc>
        <w:tc>
          <w:tcPr>
            <w:tcW w:w="2268" w:type="dxa"/>
            <w:vAlign w:val="center"/>
          </w:tcPr>
          <w:p>
            <w:pPr>
              <w:pStyle w:val="32"/>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增加线路</w:t>
            </w:r>
          </w:p>
        </w:tc>
        <w:tc>
          <w:tcPr>
            <w:tcW w:w="2835" w:type="dxa"/>
            <w:vAlign w:val="center"/>
          </w:tcPr>
          <w:p>
            <w:pPr>
              <w:pStyle w:val="32"/>
            </w:pPr>
            <w:r>
              <w:t>开通公交运营线路</w:t>
            </w:r>
          </w:p>
        </w:tc>
        <w:tc>
          <w:tcPr>
            <w:tcW w:w="2551" w:type="dxa"/>
            <w:vAlign w:val="center"/>
          </w:tcPr>
          <w:p>
            <w:pPr>
              <w:pStyle w:val="32"/>
            </w:pPr>
            <w:r>
              <w:t>≤3条</w:t>
            </w:r>
          </w:p>
        </w:tc>
        <w:tc>
          <w:tcPr>
            <w:tcW w:w="2268" w:type="dxa"/>
            <w:vAlign w:val="center"/>
          </w:tcPr>
          <w:p>
            <w:pPr>
              <w:pStyle w:val="32"/>
            </w:pPr>
            <w:r>
              <w:t>实际运营情况报告或材料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400KAV变压器</w:t>
            </w:r>
          </w:p>
        </w:tc>
        <w:tc>
          <w:tcPr>
            <w:tcW w:w="2835" w:type="dxa"/>
            <w:vAlign w:val="center"/>
          </w:tcPr>
          <w:p>
            <w:pPr>
              <w:pStyle w:val="32"/>
            </w:pPr>
            <w:r>
              <w:t>安装变压器</w:t>
            </w:r>
          </w:p>
        </w:tc>
        <w:tc>
          <w:tcPr>
            <w:tcW w:w="2551" w:type="dxa"/>
            <w:vAlign w:val="center"/>
          </w:tcPr>
          <w:p>
            <w:pPr>
              <w:pStyle w:val="32"/>
            </w:pPr>
            <w:r>
              <w:t xml:space="preserve">≤1个 </w:t>
            </w:r>
          </w:p>
        </w:tc>
        <w:tc>
          <w:tcPr>
            <w:tcW w:w="2268" w:type="dxa"/>
            <w:vAlign w:val="center"/>
          </w:tcPr>
          <w:p>
            <w:pPr>
              <w:pStyle w:val="32"/>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车辆验收合格率</w:t>
            </w:r>
          </w:p>
        </w:tc>
        <w:tc>
          <w:tcPr>
            <w:tcW w:w="2835" w:type="dxa"/>
            <w:vAlign w:val="center"/>
          </w:tcPr>
          <w:p>
            <w:pPr>
              <w:pStyle w:val="32"/>
            </w:pPr>
            <w:r>
              <w:t>验收合格率</w:t>
            </w:r>
          </w:p>
        </w:tc>
        <w:tc>
          <w:tcPr>
            <w:tcW w:w="2551" w:type="dxa"/>
            <w:vAlign w:val="center"/>
          </w:tcPr>
          <w:p>
            <w:pPr>
              <w:pStyle w:val="32"/>
            </w:pPr>
            <w:r>
              <w:t>100%</w:t>
            </w:r>
          </w:p>
        </w:tc>
        <w:tc>
          <w:tcPr>
            <w:tcW w:w="2268" w:type="dxa"/>
            <w:vAlign w:val="center"/>
          </w:tcPr>
          <w:p>
            <w:pPr>
              <w:pStyle w:val="32"/>
            </w:pPr>
            <w:r>
              <w:t>验收报告或设备使用说明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充电桩验收合格率</w:t>
            </w:r>
          </w:p>
        </w:tc>
        <w:tc>
          <w:tcPr>
            <w:tcW w:w="2835" w:type="dxa"/>
            <w:vAlign w:val="center"/>
          </w:tcPr>
          <w:p>
            <w:pPr>
              <w:pStyle w:val="32"/>
            </w:pPr>
            <w:r>
              <w:t>验收合格率</w:t>
            </w:r>
          </w:p>
        </w:tc>
        <w:tc>
          <w:tcPr>
            <w:tcW w:w="2551" w:type="dxa"/>
            <w:vAlign w:val="center"/>
          </w:tcPr>
          <w:p>
            <w:pPr>
              <w:pStyle w:val="32"/>
            </w:pPr>
            <w:r>
              <w:t>100%</w:t>
            </w:r>
          </w:p>
        </w:tc>
        <w:tc>
          <w:tcPr>
            <w:tcW w:w="2268" w:type="dxa"/>
            <w:vAlign w:val="center"/>
          </w:tcPr>
          <w:p>
            <w:pPr>
              <w:pStyle w:val="32"/>
            </w:pPr>
            <w:r>
              <w:t>验收报告或设备使用说明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车辆招标时间</w:t>
            </w:r>
          </w:p>
        </w:tc>
        <w:tc>
          <w:tcPr>
            <w:tcW w:w="2835" w:type="dxa"/>
            <w:vAlign w:val="center"/>
          </w:tcPr>
          <w:p>
            <w:pPr>
              <w:pStyle w:val="32"/>
            </w:pPr>
            <w:r>
              <w:t>招标时间</w:t>
            </w:r>
          </w:p>
        </w:tc>
        <w:tc>
          <w:tcPr>
            <w:tcW w:w="2551" w:type="dxa"/>
            <w:vAlign w:val="center"/>
          </w:tcPr>
          <w:p>
            <w:pPr>
              <w:pStyle w:val="32"/>
            </w:pPr>
            <w:r>
              <w:t>3月份前完成</w:t>
            </w:r>
          </w:p>
        </w:tc>
        <w:tc>
          <w:tcPr>
            <w:tcW w:w="2268" w:type="dxa"/>
            <w:vAlign w:val="center"/>
          </w:tcPr>
          <w:p>
            <w:pPr>
              <w:pStyle w:val="32"/>
            </w:pPr>
            <w:r>
              <w:t>文字材料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车辆采购到位时间</w:t>
            </w:r>
          </w:p>
        </w:tc>
        <w:tc>
          <w:tcPr>
            <w:tcW w:w="2835" w:type="dxa"/>
            <w:vAlign w:val="center"/>
          </w:tcPr>
          <w:p>
            <w:pPr>
              <w:pStyle w:val="32"/>
            </w:pPr>
            <w:r>
              <w:t>采购车辆交付时间</w:t>
            </w:r>
          </w:p>
        </w:tc>
        <w:tc>
          <w:tcPr>
            <w:tcW w:w="2551" w:type="dxa"/>
            <w:vAlign w:val="center"/>
          </w:tcPr>
          <w:p>
            <w:pPr>
              <w:pStyle w:val="32"/>
            </w:pPr>
            <w:r>
              <w:t>4月份前完成</w:t>
            </w:r>
          </w:p>
        </w:tc>
        <w:tc>
          <w:tcPr>
            <w:tcW w:w="2268" w:type="dxa"/>
            <w:vAlign w:val="center"/>
          </w:tcPr>
          <w:p>
            <w:pPr>
              <w:pStyle w:val="32"/>
            </w:pPr>
            <w:r>
              <w:t>文字材料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充电配套设施完成时间</w:t>
            </w:r>
          </w:p>
        </w:tc>
        <w:tc>
          <w:tcPr>
            <w:tcW w:w="2835" w:type="dxa"/>
            <w:vAlign w:val="center"/>
          </w:tcPr>
          <w:p>
            <w:pPr>
              <w:pStyle w:val="32"/>
            </w:pPr>
            <w:r>
              <w:t>充电配套设施完成时间</w:t>
            </w:r>
          </w:p>
        </w:tc>
        <w:tc>
          <w:tcPr>
            <w:tcW w:w="2551" w:type="dxa"/>
            <w:vAlign w:val="center"/>
          </w:tcPr>
          <w:p>
            <w:pPr>
              <w:pStyle w:val="32"/>
            </w:pPr>
            <w:r>
              <w:t>6月份前完成</w:t>
            </w:r>
          </w:p>
        </w:tc>
        <w:tc>
          <w:tcPr>
            <w:tcW w:w="2268" w:type="dxa"/>
            <w:vAlign w:val="center"/>
          </w:tcPr>
          <w:p>
            <w:pPr>
              <w:pStyle w:val="32"/>
            </w:pPr>
            <w:r>
              <w:t>文字材料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纯电公交车采购成本（首付20%）</w:t>
            </w:r>
          </w:p>
        </w:tc>
        <w:tc>
          <w:tcPr>
            <w:tcW w:w="2835" w:type="dxa"/>
            <w:vAlign w:val="center"/>
          </w:tcPr>
          <w:p>
            <w:pPr>
              <w:pStyle w:val="32"/>
            </w:pPr>
            <w:r>
              <w:t>每部车购置成本</w:t>
            </w:r>
          </w:p>
        </w:tc>
        <w:tc>
          <w:tcPr>
            <w:tcW w:w="2551" w:type="dxa"/>
            <w:vAlign w:val="center"/>
          </w:tcPr>
          <w:p>
            <w:pPr>
              <w:pStyle w:val="32"/>
            </w:pPr>
            <w:r>
              <w:t>≤27万</w:t>
            </w:r>
          </w:p>
        </w:tc>
        <w:tc>
          <w:tcPr>
            <w:tcW w:w="2268" w:type="dxa"/>
            <w:vAlign w:val="center"/>
          </w:tcPr>
          <w:p>
            <w:pPr>
              <w:pStyle w:val="32"/>
            </w:pPr>
            <w:r>
              <w:t>车辆统一发票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630KAV变压器</w:t>
            </w:r>
          </w:p>
        </w:tc>
        <w:tc>
          <w:tcPr>
            <w:tcW w:w="2835" w:type="dxa"/>
            <w:vAlign w:val="center"/>
          </w:tcPr>
          <w:p>
            <w:pPr>
              <w:pStyle w:val="32"/>
            </w:pPr>
            <w:r>
              <w:t>安装变压器成本</w:t>
            </w:r>
          </w:p>
        </w:tc>
        <w:tc>
          <w:tcPr>
            <w:tcW w:w="2551" w:type="dxa"/>
            <w:vAlign w:val="center"/>
          </w:tcPr>
          <w:p>
            <w:pPr>
              <w:pStyle w:val="32"/>
            </w:pPr>
            <w:r>
              <w:t>≤60万</w:t>
            </w:r>
          </w:p>
        </w:tc>
        <w:tc>
          <w:tcPr>
            <w:tcW w:w="2268" w:type="dxa"/>
            <w:vAlign w:val="center"/>
          </w:tcPr>
          <w:p>
            <w:pPr>
              <w:pStyle w:val="32"/>
            </w:pPr>
            <w:r>
              <w:t>发票或文件或验收报告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400KAV变压器</w:t>
            </w:r>
          </w:p>
        </w:tc>
        <w:tc>
          <w:tcPr>
            <w:tcW w:w="2835" w:type="dxa"/>
            <w:vAlign w:val="center"/>
          </w:tcPr>
          <w:p>
            <w:pPr>
              <w:pStyle w:val="32"/>
            </w:pPr>
            <w:r>
              <w:t>安装变压器成本</w:t>
            </w:r>
          </w:p>
        </w:tc>
        <w:tc>
          <w:tcPr>
            <w:tcW w:w="2551" w:type="dxa"/>
            <w:vAlign w:val="center"/>
          </w:tcPr>
          <w:p>
            <w:pPr>
              <w:pStyle w:val="32"/>
            </w:pPr>
            <w:r>
              <w:t>≤40万</w:t>
            </w:r>
          </w:p>
        </w:tc>
        <w:tc>
          <w:tcPr>
            <w:tcW w:w="2268" w:type="dxa"/>
            <w:vAlign w:val="center"/>
          </w:tcPr>
          <w:p>
            <w:pPr>
              <w:pStyle w:val="32"/>
            </w:pPr>
            <w:r>
              <w:t>发票或文件或验收报告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充电桩安装成本</w:t>
            </w:r>
          </w:p>
        </w:tc>
        <w:tc>
          <w:tcPr>
            <w:tcW w:w="2835" w:type="dxa"/>
            <w:vAlign w:val="center"/>
          </w:tcPr>
          <w:p>
            <w:pPr>
              <w:pStyle w:val="32"/>
            </w:pPr>
            <w:r>
              <w:t>每个充电桩安装成本</w:t>
            </w:r>
          </w:p>
        </w:tc>
        <w:tc>
          <w:tcPr>
            <w:tcW w:w="2551" w:type="dxa"/>
            <w:vAlign w:val="center"/>
          </w:tcPr>
          <w:p>
            <w:pPr>
              <w:pStyle w:val="32"/>
            </w:pPr>
            <w:r>
              <w:t>≤6.7万</w:t>
            </w:r>
          </w:p>
        </w:tc>
        <w:tc>
          <w:tcPr>
            <w:tcW w:w="2268" w:type="dxa"/>
            <w:vAlign w:val="center"/>
          </w:tcPr>
          <w:p>
            <w:pPr>
              <w:pStyle w:val="32"/>
            </w:pPr>
            <w:r>
              <w:t>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线路运营年限</w:t>
            </w:r>
          </w:p>
        </w:tc>
        <w:tc>
          <w:tcPr>
            <w:tcW w:w="2835" w:type="dxa"/>
            <w:vAlign w:val="center"/>
          </w:tcPr>
          <w:p>
            <w:pPr>
              <w:pStyle w:val="32"/>
            </w:pPr>
            <w:r>
              <w:t>取得政府线路特许经营权</w:t>
            </w:r>
          </w:p>
        </w:tc>
        <w:tc>
          <w:tcPr>
            <w:tcW w:w="2551" w:type="dxa"/>
            <w:vAlign w:val="center"/>
          </w:tcPr>
          <w:p>
            <w:pPr>
              <w:pStyle w:val="32"/>
            </w:pPr>
            <w:r>
              <w:t>≥8年</w:t>
            </w:r>
          </w:p>
        </w:tc>
        <w:tc>
          <w:tcPr>
            <w:tcW w:w="2268" w:type="dxa"/>
            <w:vAlign w:val="center"/>
          </w:tcPr>
          <w:p>
            <w:pPr>
              <w:pStyle w:val="32"/>
            </w:pPr>
            <w:r>
              <w:t>特许经营证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提升居民出行质量，提高居民生活质量</w:t>
            </w:r>
          </w:p>
        </w:tc>
        <w:tc>
          <w:tcPr>
            <w:tcW w:w="2551" w:type="dxa"/>
            <w:vAlign w:val="center"/>
          </w:tcPr>
          <w:p>
            <w:pPr>
              <w:pStyle w:val="32"/>
            </w:pPr>
            <w:r>
              <w:t>≤96%</w:t>
            </w:r>
          </w:p>
        </w:tc>
        <w:tc>
          <w:tcPr>
            <w:tcW w:w="2268" w:type="dxa"/>
            <w:vAlign w:val="center"/>
          </w:tcPr>
          <w:p>
            <w:pPr>
              <w:pStyle w:val="32"/>
            </w:pPr>
            <w:r>
              <w:t>调查问卷</w:t>
            </w:r>
          </w:p>
        </w:tc>
      </w:tr>
    </w:tbl>
    <w:p>
      <w:pPr>
        <w:pStyle w:val="30"/>
      </w:pPr>
    </w:p>
    <w:p>
      <w:pPr>
        <w:pStyle w:val="30"/>
        <w:ind w:firstLine="560"/>
      </w:pPr>
      <w:r>
        <w:rPr>
          <w:rFonts w:ascii="方正仿宋_GBK" w:hAnsi="方正仿宋_GBK" w:eastAsia="方正仿宋_GBK" w:cs="方正仿宋_GBK"/>
          <w:b/>
          <w:color w:val="000000"/>
          <w:sz w:val="28"/>
        </w:rPr>
        <w:t>9、廊坊市公共交通运输集团有限公司“健康服务中心（职工之家）”项目资金绩效目标表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1.通过建设职工“健康服务中心（职工之家）”项目，充分利用现有闲置场地，提升集团软实力，加强职工身心健康管理，提升企业运营安全和服务水平。</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基础装修改造面积</w:t>
            </w:r>
          </w:p>
        </w:tc>
        <w:tc>
          <w:tcPr>
            <w:tcW w:w="2835" w:type="dxa"/>
            <w:vAlign w:val="center"/>
          </w:tcPr>
          <w:p>
            <w:pPr>
              <w:pStyle w:val="32"/>
            </w:pPr>
            <w:r>
              <w:t>职工“健康服务中心（职工之家）”项目基础装修改造面积</w:t>
            </w:r>
          </w:p>
        </w:tc>
        <w:tc>
          <w:tcPr>
            <w:tcW w:w="2551" w:type="dxa"/>
            <w:vAlign w:val="center"/>
          </w:tcPr>
          <w:p>
            <w:pPr>
              <w:pStyle w:val="32"/>
            </w:pPr>
            <w:r>
              <w:t>610平方米</w:t>
            </w:r>
          </w:p>
        </w:tc>
        <w:tc>
          <w:tcPr>
            <w:tcW w:w="2268" w:type="dxa"/>
            <w:vAlign w:val="center"/>
          </w:tcPr>
          <w:p>
            <w:pPr>
              <w:pStyle w:val="32"/>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身体加油区建设数量</w:t>
            </w:r>
          </w:p>
        </w:tc>
        <w:tc>
          <w:tcPr>
            <w:tcW w:w="2835" w:type="dxa"/>
            <w:vAlign w:val="center"/>
          </w:tcPr>
          <w:p>
            <w:pPr>
              <w:pStyle w:val="32"/>
            </w:pPr>
            <w:r>
              <w:t>职工“健康服务中心（职工之家）”项目身体加油区建设数量</w:t>
            </w:r>
          </w:p>
        </w:tc>
        <w:tc>
          <w:tcPr>
            <w:tcW w:w="2551" w:type="dxa"/>
            <w:vAlign w:val="center"/>
          </w:tcPr>
          <w:p>
            <w:pPr>
              <w:pStyle w:val="32"/>
            </w:pPr>
            <w:r>
              <w:t>1项</w:t>
            </w:r>
          </w:p>
        </w:tc>
        <w:tc>
          <w:tcPr>
            <w:tcW w:w="2268" w:type="dxa"/>
            <w:vAlign w:val="center"/>
          </w:tcPr>
          <w:p>
            <w:pPr>
              <w:pStyle w:val="32"/>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知识海洋区建设数量</w:t>
            </w:r>
          </w:p>
        </w:tc>
        <w:tc>
          <w:tcPr>
            <w:tcW w:w="2835" w:type="dxa"/>
            <w:vAlign w:val="center"/>
          </w:tcPr>
          <w:p>
            <w:pPr>
              <w:pStyle w:val="32"/>
            </w:pPr>
            <w:r>
              <w:t>职工“健康服务中心（职工之家）”项目知识海洋区建设数量</w:t>
            </w:r>
          </w:p>
        </w:tc>
        <w:tc>
          <w:tcPr>
            <w:tcW w:w="2551" w:type="dxa"/>
            <w:vAlign w:val="center"/>
          </w:tcPr>
          <w:p>
            <w:pPr>
              <w:pStyle w:val="32"/>
            </w:pPr>
            <w:r>
              <w:t>1项</w:t>
            </w:r>
          </w:p>
        </w:tc>
        <w:tc>
          <w:tcPr>
            <w:tcW w:w="2268" w:type="dxa"/>
            <w:vAlign w:val="center"/>
          </w:tcPr>
          <w:p>
            <w:pPr>
              <w:pStyle w:val="32"/>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心理疏导减压区建设数量</w:t>
            </w:r>
          </w:p>
        </w:tc>
        <w:tc>
          <w:tcPr>
            <w:tcW w:w="2835" w:type="dxa"/>
            <w:vAlign w:val="center"/>
          </w:tcPr>
          <w:p>
            <w:pPr>
              <w:pStyle w:val="32"/>
            </w:pPr>
            <w:r>
              <w:t>职工“健康服务中心（职工之家）”项目心理疏导减压区建设数量</w:t>
            </w:r>
          </w:p>
        </w:tc>
        <w:tc>
          <w:tcPr>
            <w:tcW w:w="2551" w:type="dxa"/>
            <w:vAlign w:val="center"/>
          </w:tcPr>
          <w:p>
            <w:pPr>
              <w:pStyle w:val="32"/>
            </w:pPr>
            <w:r>
              <w:t>1项</w:t>
            </w:r>
          </w:p>
        </w:tc>
        <w:tc>
          <w:tcPr>
            <w:tcW w:w="2268" w:type="dxa"/>
            <w:vAlign w:val="center"/>
          </w:tcPr>
          <w:p>
            <w:pPr>
              <w:pStyle w:val="32"/>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项目验收合格率</w:t>
            </w:r>
          </w:p>
        </w:tc>
        <w:tc>
          <w:tcPr>
            <w:tcW w:w="2551" w:type="dxa"/>
            <w:vAlign w:val="center"/>
          </w:tcPr>
          <w:p>
            <w:pPr>
              <w:pStyle w:val="32"/>
            </w:pPr>
            <w:r>
              <w:t>100%</w:t>
            </w:r>
          </w:p>
        </w:tc>
        <w:tc>
          <w:tcPr>
            <w:tcW w:w="2268" w:type="dxa"/>
            <w:vAlign w:val="center"/>
          </w:tcPr>
          <w:p>
            <w:pPr>
              <w:pStyle w:val="32"/>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项目建设完工时间</w:t>
            </w:r>
          </w:p>
        </w:tc>
        <w:tc>
          <w:tcPr>
            <w:tcW w:w="2551" w:type="dxa"/>
            <w:vAlign w:val="center"/>
          </w:tcPr>
          <w:p>
            <w:pPr>
              <w:pStyle w:val="32"/>
            </w:pPr>
            <w:r>
              <w:t>2022年10月31日</w:t>
            </w:r>
          </w:p>
        </w:tc>
        <w:tc>
          <w:tcPr>
            <w:tcW w:w="2268" w:type="dxa"/>
            <w:vAlign w:val="center"/>
          </w:tcPr>
          <w:p>
            <w:pPr>
              <w:pStyle w:val="32"/>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基础装修改造资资金缺口</w:t>
            </w:r>
          </w:p>
        </w:tc>
        <w:tc>
          <w:tcPr>
            <w:tcW w:w="2835" w:type="dxa"/>
            <w:vAlign w:val="center"/>
          </w:tcPr>
          <w:p>
            <w:pPr>
              <w:pStyle w:val="32"/>
            </w:pPr>
            <w:r>
              <w:t>项目基础装修单位成本</w:t>
            </w:r>
          </w:p>
        </w:tc>
        <w:tc>
          <w:tcPr>
            <w:tcW w:w="2551" w:type="dxa"/>
            <w:vAlign w:val="center"/>
          </w:tcPr>
          <w:p>
            <w:pPr>
              <w:pStyle w:val="32"/>
            </w:pPr>
            <w:r>
              <w:t>≤1061.85元/平方米</w:t>
            </w:r>
          </w:p>
        </w:tc>
        <w:tc>
          <w:tcPr>
            <w:tcW w:w="2268" w:type="dxa"/>
            <w:vAlign w:val="center"/>
          </w:tcPr>
          <w:p>
            <w:pPr>
              <w:pStyle w:val="32"/>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身体加油压区资金缺口</w:t>
            </w:r>
          </w:p>
        </w:tc>
        <w:tc>
          <w:tcPr>
            <w:tcW w:w="2835" w:type="dxa"/>
            <w:vAlign w:val="center"/>
          </w:tcPr>
          <w:p>
            <w:pPr>
              <w:pStyle w:val="32"/>
            </w:pPr>
            <w:r>
              <w:t>身体加油区建设所需资金</w:t>
            </w:r>
          </w:p>
        </w:tc>
        <w:tc>
          <w:tcPr>
            <w:tcW w:w="2551" w:type="dxa"/>
            <w:vAlign w:val="center"/>
          </w:tcPr>
          <w:p>
            <w:pPr>
              <w:pStyle w:val="32"/>
            </w:pPr>
            <w:r>
              <w:t>≤5.58万元</w:t>
            </w:r>
          </w:p>
        </w:tc>
        <w:tc>
          <w:tcPr>
            <w:tcW w:w="2268" w:type="dxa"/>
            <w:vAlign w:val="center"/>
          </w:tcPr>
          <w:p>
            <w:pPr>
              <w:pStyle w:val="3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知识海洋区资金缺口</w:t>
            </w:r>
          </w:p>
        </w:tc>
        <w:tc>
          <w:tcPr>
            <w:tcW w:w="2835" w:type="dxa"/>
            <w:vAlign w:val="center"/>
          </w:tcPr>
          <w:p>
            <w:pPr>
              <w:pStyle w:val="32"/>
            </w:pPr>
            <w:r>
              <w:t>知识海洋区建设所需资金</w:t>
            </w:r>
          </w:p>
        </w:tc>
        <w:tc>
          <w:tcPr>
            <w:tcW w:w="2551" w:type="dxa"/>
            <w:vAlign w:val="center"/>
          </w:tcPr>
          <w:p>
            <w:pPr>
              <w:pStyle w:val="32"/>
            </w:pPr>
            <w:r>
              <w:t>≤6万元</w:t>
            </w:r>
          </w:p>
        </w:tc>
        <w:tc>
          <w:tcPr>
            <w:tcW w:w="2268" w:type="dxa"/>
            <w:vAlign w:val="center"/>
          </w:tcPr>
          <w:p>
            <w:pPr>
              <w:pStyle w:val="3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心理疏导减压区资金缺口</w:t>
            </w:r>
          </w:p>
        </w:tc>
        <w:tc>
          <w:tcPr>
            <w:tcW w:w="2835" w:type="dxa"/>
            <w:vAlign w:val="center"/>
          </w:tcPr>
          <w:p>
            <w:pPr>
              <w:pStyle w:val="32"/>
            </w:pPr>
            <w:r>
              <w:t>心理疏导减压区建设所需资金</w:t>
            </w:r>
          </w:p>
        </w:tc>
        <w:tc>
          <w:tcPr>
            <w:tcW w:w="2551" w:type="dxa"/>
            <w:vAlign w:val="center"/>
          </w:tcPr>
          <w:p>
            <w:pPr>
              <w:pStyle w:val="32"/>
            </w:pPr>
            <w:r>
              <w:t>≤43.65万元</w:t>
            </w:r>
          </w:p>
        </w:tc>
        <w:tc>
          <w:tcPr>
            <w:tcW w:w="2268" w:type="dxa"/>
            <w:vAlign w:val="center"/>
          </w:tcPr>
          <w:p>
            <w:pPr>
              <w:pStyle w:val="3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提高公交运营服务质量</w:t>
            </w:r>
          </w:p>
        </w:tc>
        <w:tc>
          <w:tcPr>
            <w:tcW w:w="2835" w:type="dxa"/>
            <w:vAlign w:val="center"/>
          </w:tcPr>
          <w:p>
            <w:pPr>
              <w:pStyle w:val="32"/>
            </w:pPr>
            <w:r>
              <w:t>项目体现人文关怀，有效排解驾驶员的不良情绪，提高公交运营过程中的服务质量</w:t>
            </w:r>
          </w:p>
        </w:tc>
        <w:tc>
          <w:tcPr>
            <w:tcW w:w="2551" w:type="dxa"/>
            <w:vAlign w:val="center"/>
          </w:tcPr>
          <w:p>
            <w:pPr>
              <w:pStyle w:val="32"/>
            </w:pPr>
            <w:r>
              <w:t>提高</w:t>
            </w:r>
          </w:p>
        </w:tc>
        <w:tc>
          <w:tcPr>
            <w:tcW w:w="2268" w:type="dxa"/>
            <w:vAlign w:val="center"/>
          </w:tcPr>
          <w:p>
            <w:pPr>
              <w:pStyle w:val="32"/>
            </w:pPr>
            <w:r>
              <w:t>市民满意度调查表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降低因驾驶员心理因素造成的有责事故投诉率</w:t>
            </w:r>
          </w:p>
        </w:tc>
        <w:tc>
          <w:tcPr>
            <w:tcW w:w="2835" w:type="dxa"/>
            <w:vAlign w:val="center"/>
          </w:tcPr>
          <w:p>
            <w:pPr>
              <w:pStyle w:val="32"/>
            </w:pPr>
            <w:r>
              <w:t>项目投入使用有助于职工身体和心理健康，稳定职工不良情绪，保障公交车辆运营安全</w:t>
            </w:r>
          </w:p>
        </w:tc>
        <w:tc>
          <w:tcPr>
            <w:tcW w:w="2551" w:type="dxa"/>
            <w:vAlign w:val="center"/>
          </w:tcPr>
          <w:p>
            <w:pPr>
              <w:pStyle w:val="32"/>
            </w:pPr>
            <w:r>
              <w:t>降低</w:t>
            </w:r>
          </w:p>
        </w:tc>
        <w:tc>
          <w:tcPr>
            <w:tcW w:w="2268" w:type="dxa"/>
            <w:vAlign w:val="center"/>
          </w:tcPr>
          <w:p>
            <w:pPr>
              <w:pStyle w:val="32"/>
            </w:pPr>
            <w:r>
              <w:t>因驾驶员心理因素造成的有责投诉率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职工满意度</w:t>
            </w:r>
          </w:p>
        </w:tc>
        <w:tc>
          <w:tcPr>
            <w:tcW w:w="2835" w:type="dxa"/>
            <w:vAlign w:val="center"/>
          </w:tcPr>
          <w:p>
            <w:pPr>
              <w:pStyle w:val="32"/>
            </w:pPr>
            <w:r>
              <w:t>公交公司职工满意度</w:t>
            </w:r>
          </w:p>
        </w:tc>
        <w:tc>
          <w:tcPr>
            <w:tcW w:w="2551" w:type="dxa"/>
            <w:vAlign w:val="center"/>
          </w:tcPr>
          <w:p>
            <w:pPr>
              <w:pStyle w:val="32"/>
            </w:pPr>
            <w:r>
              <w:t>≥95%</w:t>
            </w:r>
          </w:p>
        </w:tc>
        <w:tc>
          <w:tcPr>
            <w:tcW w:w="2268" w:type="dxa"/>
            <w:vAlign w:val="center"/>
          </w:tcPr>
          <w:p>
            <w:pPr>
              <w:pStyle w:val="32"/>
            </w:pPr>
            <w:r>
              <w:t>调查统计表</w:t>
            </w:r>
          </w:p>
        </w:tc>
      </w:tr>
    </w:tbl>
    <w:p>
      <w:pPr>
        <w:pStyle w:val="30"/>
      </w:pPr>
    </w:p>
    <w:p>
      <w:pPr>
        <w:pStyle w:val="30"/>
        <w:ind w:firstLine="560"/>
      </w:pPr>
      <w:r>
        <w:rPr>
          <w:rFonts w:ascii="方正仿宋_GBK" w:hAnsi="方正仿宋_GBK" w:eastAsia="方正仿宋_GBK" w:cs="方正仿宋_GBK"/>
          <w:b/>
          <w:color w:val="000000"/>
          <w:sz w:val="28"/>
        </w:rPr>
        <w:t>10、廊坊市天都大酒店增加注册资本金绩效目标表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1.注册资本金划拨后，按照计划实施方案： 1、完成更新锅炉设备，实现节约能源消耗目标，利于酒店拓展市场扩大经营； 2、完成逐步更新完善相关设备设施，提升接待环境及整体软件服务，保证资质提升顺利通过，能够增收创收，实现减亏持续经营和服务对象满意度的目标；                                                       3、完成偿还借款本金及支付相关利息，解决酒店债务问题，实现酒店持续经营的目标； 4、弥补事业编制人员工资缺口，确保酒店人员职工队伍稳定，保证酒店各项工作稳步发展。</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改造锅炉设备数量</w:t>
            </w:r>
          </w:p>
        </w:tc>
        <w:tc>
          <w:tcPr>
            <w:tcW w:w="2835" w:type="dxa"/>
            <w:vAlign w:val="center"/>
          </w:tcPr>
          <w:p>
            <w:pPr>
              <w:pStyle w:val="32"/>
            </w:pPr>
            <w:r>
              <w:t>反映购置设备数量完成情况</w:t>
            </w:r>
          </w:p>
        </w:tc>
        <w:tc>
          <w:tcPr>
            <w:tcW w:w="2551" w:type="dxa"/>
            <w:vAlign w:val="center"/>
          </w:tcPr>
          <w:p>
            <w:pPr>
              <w:pStyle w:val="32"/>
            </w:pPr>
            <w:r>
              <w:t>1套</w:t>
            </w:r>
          </w:p>
        </w:tc>
        <w:tc>
          <w:tcPr>
            <w:tcW w:w="2268" w:type="dxa"/>
            <w:vAlign w:val="center"/>
          </w:tcPr>
          <w:p>
            <w:pPr>
              <w:pStyle w:val="32"/>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竣工验收合格率</w:t>
            </w:r>
          </w:p>
        </w:tc>
        <w:tc>
          <w:tcPr>
            <w:tcW w:w="2835" w:type="dxa"/>
            <w:vAlign w:val="center"/>
          </w:tcPr>
          <w:p>
            <w:pPr>
              <w:pStyle w:val="32"/>
            </w:pPr>
            <w:r>
              <w:t>反映酒店锅炉设备改造以及设备设施采购，更新、完善工程竣工验收情况</w:t>
            </w:r>
          </w:p>
        </w:tc>
        <w:tc>
          <w:tcPr>
            <w:tcW w:w="2551" w:type="dxa"/>
            <w:vAlign w:val="center"/>
          </w:tcPr>
          <w:p>
            <w:pPr>
              <w:pStyle w:val="32"/>
            </w:pPr>
            <w:r>
              <w:t>≥90%</w:t>
            </w:r>
          </w:p>
        </w:tc>
        <w:tc>
          <w:tcPr>
            <w:tcW w:w="2268" w:type="dxa"/>
            <w:vAlign w:val="center"/>
          </w:tcPr>
          <w:p>
            <w:pPr>
              <w:pStyle w:val="32"/>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工资福利发放及时性</w:t>
            </w:r>
          </w:p>
        </w:tc>
        <w:tc>
          <w:tcPr>
            <w:tcW w:w="2835" w:type="dxa"/>
            <w:vAlign w:val="center"/>
          </w:tcPr>
          <w:p>
            <w:pPr>
              <w:pStyle w:val="32"/>
            </w:pPr>
            <w:r>
              <w:t>反映工资福利等发放的时效情况</w:t>
            </w:r>
          </w:p>
        </w:tc>
        <w:tc>
          <w:tcPr>
            <w:tcW w:w="2551" w:type="dxa"/>
            <w:vAlign w:val="center"/>
          </w:tcPr>
          <w:p>
            <w:pPr>
              <w:pStyle w:val="32"/>
            </w:pPr>
            <w:r>
              <w:t>按规定发放</w:t>
            </w:r>
          </w:p>
        </w:tc>
        <w:tc>
          <w:tcPr>
            <w:tcW w:w="2268" w:type="dxa"/>
            <w:vAlign w:val="center"/>
          </w:tcPr>
          <w:p>
            <w:pPr>
              <w:pStyle w:val="32"/>
            </w:pPr>
            <w:r>
              <w:t>根据酒店工资支付规定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支付借款本金及利息成本</w:t>
            </w:r>
          </w:p>
        </w:tc>
        <w:tc>
          <w:tcPr>
            <w:tcW w:w="2835" w:type="dxa"/>
            <w:vAlign w:val="center"/>
          </w:tcPr>
          <w:p>
            <w:pPr>
              <w:pStyle w:val="32"/>
            </w:pPr>
            <w:r>
              <w:t>反映酒店借款本金及利息偿还情况</w:t>
            </w:r>
          </w:p>
        </w:tc>
        <w:tc>
          <w:tcPr>
            <w:tcW w:w="2551" w:type="dxa"/>
            <w:vAlign w:val="center"/>
          </w:tcPr>
          <w:p>
            <w:pPr>
              <w:pStyle w:val="32"/>
            </w:pPr>
            <w:r>
              <w:t>230万元</w:t>
            </w:r>
          </w:p>
        </w:tc>
        <w:tc>
          <w:tcPr>
            <w:tcW w:w="2268" w:type="dxa"/>
            <w:vAlign w:val="center"/>
          </w:tcPr>
          <w:p>
            <w:pPr>
              <w:pStyle w:val="32"/>
            </w:pPr>
            <w:r>
              <w:t>根据资金支出计划及往年利息支付数据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生态效益指标</w:t>
            </w:r>
          </w:p>
        </w:tc>
        <w:tc>
          <w:tcPr>
            <w:tcW w:w="2835" w:type="dxa"/>
            <w:vAlign w:val="center"/>
          </w:tcPr>
          <w:p>
            <w:pPr>
              <w:pStyle w:val="32"/>
            </w:pPr>
            <w:r>
              <w:t>节约能源消耗率</w:t>
            </w:r>
          </w:p>
        </w:tc>
        <w:tc>
          <w:tcPr>
            <w:tcW w:w="2835" w:type="dxa"/>
            <w:vAlign w:val="center"/>
          </w:tcPr>
          <w:p>
            <w:pPr>
              <w:pStyle w:val="32"/>
            </w:pPr>
            <w:r>
              <w:t>资金到账后用于企业正常经营，通过维修和设备更新改造，使能源消耗降低</w:t>
            </w:r>
          </w:p>
        </w:tc>
        <w:tc>
          <w:tcPr>
            <w:tcW w:w="2551" w:type="dxa"/>
            <w:vAlign w:val="center"/>
          </w:tcPr>
          <w:p>
            <w:pPr>
              <w:pStyle w:val="32"/>
            </w:pPr>
            <w:r>
              <w:t>≥3%</w:t>
            </w:r>
          </w:p>
        </w:tc>
        <w:tc>
          <w:tcPr>
            <w:tcW w:w="2268" w:type="dxa"/>
            <w:vAlign w:val="center"/>
          </w:tcPr>
          <w:p>
            <w:pPr>
              <w:pStyle w:val="32"/>
            </w:pPr>
            <w:r>
              <w:t>根据酒店水电燃气能源消耗的票据及酒店整合的能源消耗表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酒店持续经营</w:t>
            </w:r>
          </w:p>
        </w:tc>
        <w:tc>
          <w:tcPr>
            <w:tcW w:w="2835" w:type="dxa"/>
            <w:vAlign w:val="center"/>
          </w:tcPr>
          <w:p>
            <w:pPr>
              <w:pStyle w:val="32"/>
            </w:pPr>
            <w:r>
              <w:t>改善接待环境，提升服务质量，降低酒店亏损额，使酒店持续经营。</w:t>
            </w:r>
          </w:p>
        </w:tc>
        <w:tc>
          <w:tcPr>
            <w:tcW w:w="2551" w:type="dxa"/>
            <w:vAlign w:val="center"/>
          </w:tcPr>
          <w:p>
            <w:pPr>
              <w:pStyle w:val="32"/>
            </w:pPr>
            <w:r>
              <w:t>持续经营</w:t>
            </w:r>
          </w:p>
        </w:tc>
        <w:tc>
          <w:tcPr>
            <w:tcW w:w="2268" w:type="dxa"/>
            <w:vAlign w:val="center"/>
          </w:tcPr>
          <w:p>
            <w:pPr>
              <w:pStyle w:val="32"/>
            </w:pPr>
            <w:r>
              <w:t>按照酒店经营情况及审计报告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作为全市政务接待窗口，企业接待满意度90%以上</w:t>
            </w:r>
          </w:p>
        </w:tc>
        <w:tc>
          <w:tcPr>
            <w:tcW w:w="2551" w:type="dxa"/>
            <w:vAlign w:val="center"/>
          </w:tcPr>
          <w:p>
            <w:pPr>
              <w:pStyle w:val="32"/>
            </w:pPr>
            <w:r>
              <w:t>≥90%</w:t>
            </w:r>
          </w:p>
        </w:tc>
        <w:tc>
          <w:tcPr>
            <w:tcW w:w="2268" w:type="dxa"/>
            <w:vAlign w:val="center"/>
          </w:tcPr>
          <w:p>
            <w:pPr>
              <w:pStyle w:val="32"/>
            </w:pPr>
            <w:r>
              <w:t>根据会议满意度调查问卷</w:t>
            </w:r>
          </w:p>
        </w:tc>
      </w:tr>
    </w:tbl>
    <w:p>
      <w:pPr>
        <w:pStyle w:val="30"/>
      </w:pPr>
    </w:p>
    <w:p>
      <w:pPr>
        <w:pStyle w:val="30"/>
        <w:ind w:firstLine="560"/>
      </w:pPr>
      <w:r>
        <w:rPr>
          <w:rFonts w:ascii="方正仿宋_GBK" w:hAnsi="方正仿宋_GBK" w:eastAsia="方正仿宋_GBK" w:cs="方正仿宋_GBK"/>
          <w:b/>
          <w:color w:val="000000"/>
          <w:sz w:val="28"/>
        </w:rPr>
        <w:t>11、廊坊市物产企业集团有限公司补充注册资本金绩效目标表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1.集团稳定发展，效益提升，解决历史遗留问题，促进混改公司效益提升。</w:t>
            </w:r>
            <w:r>
              <w:tab/>
            </w:r>
            <w:r>
              <w:tab/>
            </w:r>
            <w:r>
              <w:tab/>
            </w:r>
            <w:r>
              <w:tab/>
            </w:r>
            <w:r>
              <w:tab/>
            </w:r>
            <w:r>
              <w:tab/>
            </w:r>
            <w:r>
              <w:tab/>
            </w:r>
          </w:p>
          <w:p>
            <w:pPr>
              <w:pStyle w:val="32"/>
            </w:pPr>
            <w:r>
              <w:tab/>
            </w:r>
            <w:r>
              <w:tab/>
            </w:r>
            <w:r>
              <w:tab/>
            </w:r>
            <w:r>
              <w:tab/>
            </w:r>
            <w:r>
              <w:tab/>
            </w:r>
            <w:r>
              <w:tab/>
            </w:r>
            <w:r>
              <w:tab/>
            </w:r>
          </w:p>
          <w:p>
            <w:pPr>
              <w:pStyle w:val="32"/>
            </w:pP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销售收入　</w:t>
            </w:r>
          </w:p>
        </w:tc>
        <w:tc>
          <w:tcPr>
            <w:tcW w:w="2835" w:type="dxa"/>
            <w:vAlign w:val="center"/>
          </w:tcPr>
          <w:p>
            <w:pPr>
              <w:pStyle w:val="32"/>
            </w:pPr>
            <w:r>
              <w:t>商品销售额　</w:t>
            </w:r>
          </w:p>
        </w:tc>
        <w:tc>
          <w:tcPr>
            <w:tcW w:w="2551" w:type="dxa"/>
            <w:vAlign w:val="center"/>
          </w:tcPr>
          <w:p>
            <w:pPr>
              <w:pStyle w:val="32"/>
            </w:pPr>
            <w:r>
              <w:t>≥1.5亿元</w:t>
            </w:r>
          </w:p>
        </w:tc>
        <w:tc>
          <w:tcPr>
            <w:tcW w:w="2268" w:type="dxa"/>
            <w:vAlign w:val="center"/>
          </w:tcPr>
          <w:p>
            <w:pPr>
              <w:pStyle w:val="32"/>
            </w:pPr>
            <w:r>
              <w:t>　企业经营预算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资产负债率　</w:t>
            </w:r>
          </w:p>
        </w:tc>
        <w:tc>
          <w:tcPr>
            <w:tcW w:w="2835" w:type="dxa"/>
            <w:vAlign w:val="center"/>
          </w:tcPr>
          <w:p>
            <w:pPr>
              <w:pStyle w:val="32"/>
            </w:pPr>
            <w:r>
              <w:t>负债总额与资产总额之比　</w:t>
            </w:r>
          </w:p>
        </w:tc>
        <w:tc>
          <w:tcPr>
            <w:tcW w:w="2551" w:type="dxa"/>
            <w:vAlign w:val="center"/>
          </w:tcPr>
          <w:p>
            <w:pPr>
              <w:pStyle w:val="32"/>
            </w:pPr>
            <w:r>
              <w:t>&lt;120%</w:t>
            </w:r>
          </w:p>
        </w:tc>
        <w:tc>
          <w:tcPr>
            <w:tcW w:w="2268" w:type="dxa"/>
            <w:vAlign w:val="center"/>
          </w:tcPr>
          <w:p>
            <w:pPr>
              <w:pStyle w:val="32"/>
            </w:pPr>
            <w:r>
              <w:t>企业经营预算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补缴保险金</w:t>
            </w:r>
          </w:p>
        </w:tc>
        <w:tc>
          <w:tcPr>
            <w:tcW w:w="2835" w:type="dxa"/>
            <w:vAlign w:val="center"/>
          </w:tcPr>
          <w:p>
            <w:pPr>
              <w:pStyle w:val="32"/>
            </w:pPr>
            <w:r>
              <w:t>保险费交至保险中心</w:t>
            </w:r>
          </w:p>
        </w:tc>
        <w:tc>
          <w:tcPr>
            <w:tcW w:w="2551" w:type="dxa"/>
            <w:vAlign w:val="center"/>
          </w:tcPr>
          <w:p>
            <w:pPr>
              <w:pStyle w:val="32"/>
            </w:pPr>
            <w:r>
              <w:t>&lt;30天</w:t>
            </w:r>
          </w:p>
        </w:tc>
        <w:tc>
          <w:tcPr>
            <w:tcW w:w="2268" w:type="dxa"/>
            <w:vAlign w:val="center"/>
          </w:tcPr>
          <w:p>
            <w:pPr>
              <w:pStyle w:val="32"/>
            </w:pPr>
            <w:r>
              <w:t>拨款到达时间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实际注资</w:t>
            </w:r>
          </w:p>
        </w:tc>
        <w:tc>
          <w:tcPr>
            <w:tcW w:w="2835" w:type="dxa"/>
            <w:vAlign w:val="center"/>
          </w:tcPr>
          <w:p>
            <w:pPr>
              <w:pStyle w:val="32"/>
            </w:pPr>
            <w:r>
              <w:t>　不高于预算数</w:t>
            </w:r>
          </w:p>
        </w:tc>
        <w:tc>
          <w:tcPr>
            <w:tcW w:w="2551" w:type="dxa"/>
            <w:vAlign w:val="center"/>
          </w:tcPr>
          <w:p>
            <w:pPr>
              <w:pStyle w:val="32"/>
            </w:pPr>
            <w:r>
              <w:t>≤115万元</w:t>
            </w:r>
          </w:p>
        </w:tc>
        <w:tc>
          <w:tcPr>
            <w:tcW w:w="2268" w:type="dxa"/>
            <w:vAlign w:val="center"/>
          </w:tcPr>
          <w:p>
            <w:pPr>
              <w:pStyle w:val="32"/>
            </w:pPr>
            <w:r>
              <w:t>企业经营预算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职工稳定</w:t>
            </w:r>
          </w:p>
        </w:tc>
        <w:tc>
          <w:tcPr>
            <w:tcW w:w="2835" w:type="dxa"/>
            <w:vAlign w:val="center"/>
          </w:tcPr>
          <w:p>
            <w:pPr>
              <w:pStyle w:val="32"/>
            </w:pPr>
            <w:r>
              <w:t>不发生越级上访</w:t>
            </w:r>
          </w:p>
        </w:tc>
        <w:tc>
          <w:tcPr>
            <w:tcW w:w="2551" w:type="dxa"/>
            <w:vAlign w:val="center"/>
          </w:tcPr>
          <w:p>
            <w:pPr>
              <w:pStyle w:val="32"/>
            </w:pPr>
            <w:r>
              <w:t>&lt;1人</w:t>
            </w:r>
          </w:p>
        </w:tc>
        <w:tc>
          <w:tcPr>
            <w:tcW w:w="2268" w:type="dxa"/>
            <w:vAlign w:val="center"/>
          </w:tcPr>
          <w:p>
            <w:pPr>
              <w:pStyle w:val="32"/>
            </w:pPr>
            <w:r>
              <w:t>集团要求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经济效益指标</w:t>
            </w:r>
          </w:p>
        </w:tc>
        <w:tc>
          <w:tcPr>
            <w:tcW w:w="2835" w:type="dxa"/>
            <w:vAlign w:val="center"/>
          </w:tcPr>
          <w:p>
            <w:pPr>
              <w:pStyle w:val="32"/>
            </w:pPr>
            <w:r>
              <w:t>利润总额</w:t>
            </w:r>
          </w:p>
        </w:tc>
        <w:tc>
          <w:tcPr>
            <w:tcW w:w="2835" w:type="dxa"/>
            <w:vAlign w:val="center"/>
          </w:tcPr>
          <w:p>
            <w:pPr>
              <w:pStyle w:val="32"/>
            </w:pPr>
            <w:r>
              <w:t>　经营利润</w:t>
            </w:r>
          </w:p>
        </w:tc>
        <w:tc>
          <w:tcPr>
            <w:tcW w:w="2551" w:type="dxa"/>
            <w:vAlign w:val="center"/>
          </w:tcPr>
          <w:p>
            <w:pPr>
              <w:pStyle w:val="32"/>
            </w:pPr>
            <w:r>
              <w:t>≥50万元</w:t>
            </w:r>
          </w:p>
        </w:tc>
        <w:tc>
          <w:tcPr>
            <w:tcW w:w="2268" w:type="dxa"/>
            <w:vAlign w:val="center"/>
          </w:tcPr>
          <w:p>
            <w:pPr>
              <w:pStyle w:val="32"/>
            </w:pPr>
            <w:r>
              <w:t>企业经营预算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　国有资产保值增值率</w:t>
            </w:r>
          </w:p>
        </w:tc>
        <w:tc>
          <w:tcPr>
            <w:tcW w:w="2835" w:type="dxa"/>
            <w:vAlign w:val="center"/>
          </w:tcPr>
          <w:p>
            <w:pPr>
              <w:pStyle w:val="32"/>
            </w:pPr>
            <w:r>
              <w:t>国有资产保值增值率　</w:t>
            </w:r>
          </w:p>
        </w:tc>
        <w:tc>
          <w:tcPr>
            <w:tcW w:w="2551" w:type="dxa"/>
            <w:vAlign w:val="center"/>
          </w:tcPr>
          <w:p>
            <w:pPr>
              <w:pStyle w:val="32"/>
            </w:pPr>
            <w:r>
              <w:t>≥103%</w:t>
            </w:r>
          </w:p>
        </w:tc>
        <w:tc>
          <w:tcPr>
            <w:tcW w:w="2268" w:type="dxa"/>
            <w:vAlign w:val="center"/>
          </w:tcPr>
          <w:p>
            <w:pPr>
              <w:pStyle w:val="32"/>
            </w:pPr>
            <w:r>
              <w:t>计算所得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p>
            <w:pPr>
              <w:pStyle w:val="32"/>
            </w:pPr>
          </w:p>
          <w:p>
            <w:pPr>
              <w:pStyle w:val="32"/>
            </w:pPr>
          </w:p>
          <w:p>
            <w:pPr>
              <w:pStyle w:val="32"/>
            </w:pPr>
          </w:p>
        </w:tc>
        <w:tc>
          <w:tcPr>
            <w:tcW w:w="2835" w:type="dxa"/>
            <w:vAlign w:val="center"/>
          </w:tcPr>
          <w:p>
            <w:pPr>
              <w:pStyle w:val="32"/>
            </w:pPr>
            <w:r>
              <w:t>顾客满意程度</w:t>
            </w:r>
          </w:p>
          <w:p>
            <w:pPr>
              <w:pStyle w:val="32"/>
            </w:pPr>
          </w:p>
          <w:p>
            <w:pPr>
              <w:pStyle w:val="32"/>
            </w:pPr>
          </w:p>
          <w:p>
            <w:pPr>
              <w:pStyle w:val="32"/>
            </w:pPr>
          </w:p>
        </w:tc>
        <w:tc>
          <w:tcPr>
            <w:tcW w:w="2551" w:type="dxa"/>
            <w:vAlign w:val="center"/>
          </w:tcPr>
          <w:p>
            <w:pPr>
              <w:pStyle w:val="32"/>
            </w:pPr>
            <w:r>
              <w:t>≥90%</w:t>
            </w:r>
          </w:p>
        </w:tc>
        <w:tc>
          <w:tcPr>
            <w:tcW w:w="2268" w:type="dxa"/>
            <w:vAlign w:val="center"/>
          </w:tcPr>
          <w:p>
            <w:pPr>
              <w:pStyle w:val="32"/>
            </w:pPr>
            <w:r>
              <w:t>调查问卷</w:t>
            </w:r>
          </w:p>
        </w:tc>
      </w:tr>
    </w:tbl>
    <w:p>
      <w:pPr>
        <w:pStyle w:val="30"/>
      </w:pPr>
    </w:p>
    <w:p>
      <w:pPr>
        <w:pStyle w:val="30"/>
        <w:ind w:firstLine="560"/>
      </w:pPr>
      <w:r>
        <w:rPr>
          <w:rFonts w:ascii="方正仿宋_GBK" w:hAnsi="方正仿宋_GBK" w:eastAsia="方正仿宋_GBK" w:cs="方正仿宋_GBK"/>
          <w:b/>
          <w:color w:val="000000"/>
          <w:sz w:val="28"/>
        </w:rPr>
        <w:t>12、企业发展促进专项经费绩效目标表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1.通过此项目的完成，做到按时完成6名在职人员、2名退休人员统筹外工资、1名遗属人员补助发放，维护职工稳定和社会稳定</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企业发展促进专项经费发放在职补贴人数</w:t>
            </w:r>
          </w:p>
        </w:tc>
        <w:tc>
          <w:tcPr>
            <w:tcW w:w="2835" w:type="dxa"/>
            <w:vAlign w:val="center"/>
          </w:tcPr>
          <w:p>
            <w:pPr>
              <w:pStyle w:val="32"/>
            </w:pPr>
            <w:r>
              <w:t>考察企业发展促进专项经费发放在职补贴人数情况</w:t>
            </w:r>
          </w:p>
        </w:tc>
        <w:tc>
          <w:tcPr>
            <w:tcW w:w="2551" w:type="dxa"/>
            <w:vAlign w:val="center"/>
          </w:tcPr>
          <w:p>
            <w:pPr>
              <w:pStyle w:val="32"/>
            </w:pPr>
            <w:r>
              <w:t>6名</w:t>
            </w:r>
          </w:p>
        </w:tc>
        <w:tc>
          <w:tcPr>
            <w:tcW w:w="2268" w:type="dxa"/>
            <w:vAlign w:val="center"/>
          </w:tcPr>
          <w:p>
            <w:pPr>
              <w:pStyle w:val="32"/>
            </w:pPr>
            <w:r>
              <w:t>企业发展促进中心在职人员花名册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企业发展促进专项经费发放补贴退休人数</w:t>
            </w:r>
          </w:p>
        </w:tc>
        <w:tc>
          <w:tcPr>
            <w:tcW w:w="2835" w:type="dxa"/>
            <w:vAlign w:val="center"/>
          </w:tcPr>
          <w:p>
            <w:pPr>
              <w:pStyle w:val="32"/>
            </w:pPr>
            <w:r>
              <w:t>考察企业发展促进专项经费发放补贴退休人数情况</w:t>
            </w:r>
          </w:p>
        </w:tc>
        <w:tc>
          <w:tcPr>
            <w:tcW w:w="2551" w:type="dxa"/>
            <w:vAlign w:val="center"/>
          </w:tcPr>
          <w:p>
            <w:pPr>
              <w:pStyle w:val="32"/>
            </w:pPr>
            <w:r>
              <w:t>2名</w:t>
            </w:r>
          </w:p>
        </w:tc>
        <w:tc>
          <w:tcPr>
            <w:tcW w:w="2268" w:type="dxa"/>
            <w:vAlign w:val="center"/>
          </w:tcPr>
          <w:p>
            <w:pPr>
              <w:pStyle w:val="32"/>
            </w:pPr>
            <w:r>
              <w:t>企业发展促进中心退休人员花名册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企业发展促进专项经费发放补贴遗属人数</w:t>
            </w:r>
          </w:p>
        </w:tc>
        <w:tc>
          <w:tcPr>
            <w:tcW w:w="2835" w:type="dxa"/>
            <w:vAlign w:val="center"/>
          </w:tcPr>
          <w:p>
            <w:pPr>
              <w:pStyle w:val="32"/>
            </w:pPr>
            <w:r>
              <w:t>考察企业发展促进专项经费发放补贴遗属人数情况</w:t>
            </w:r>
          </w:p>
        </w:tc>
        <w:tc>
          <w:tcPr>
            <w:tcW w:w="2551" w:type="dxa"/>
            <w:vAlign w:val="center"/>
          </w:tcPr>
          <w:p>
            <w:pPr>
              <w:pStyle w:val="32"/>
            </w:pPr>
            <w:r>
              <w:t>1名</w:t>
            </w:r>
          </w:p>
        </w:tc>
        <w:tc>
          <w:tcPr>
            <w:tcW w:w="2268" w:type="dxa"/>
            <w:vAlign w:val="center"/>
          </w:tcPr>
          <w:p>
            <w:pPr>
              <w:pStyle w:val="32"/>
            </w:pPr>
            <w:r>
              <w:t>企业发展促进中心遗属人员花名册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应补尽补率</w:t>
            </w:r>
          </w:p>
        </w:tc>
        <w:tc>
          <w:tcPr>
            <w:tcW w:w="2835" w:type="dxa"/>
            <w:vAlign w:val="center"/>
          </w:tcPr>
          <w:p>
            <w:pPr>
              <w:pStyle w:val="32"/>
            </w:pPr>
            <w:r>
              <w:t>考察企业发展促进专项经费补贴发放情况</w:t>
            </w:r>
          </w:p>
        </w:tc>
        <w:tc>
          <w:tcPr>
            <w:tcW w:w="2551" w:type="dxa"/>
            <w:vAlign w:val="center"/>
          </w:tcPr>
          <w:p>
            <w:pPr>
              <w:pStyle w:val="32"/>
            </w:pPr>
            <w:r>
              <w:t>100%</w:t>
            </w:r>
          </w:p>
        </w:tc>
        <w:tc>
          <w:tcPr>
            <w:tcW w:w="2268" w:type="dxa"/>
            <w:vAlign w:val="center"/>
          </w:tcPr>
          <w:p>
            <w:pPr>
              <w:pStyle w:val="32"/>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发放工作时间</w:t>
            </w:r>
          </w:p>
        </w:tc>
        <w:tc>
          <w:tcPr>
            <w:tcW w:w="2835" w:type="dxa"/>
            <w:vAlign w:val="center"/>
          </w:tcPr>
          <w:p>
            <w:pPr>
              <w:pStyle w:val="32"/>
            </w:pPr>
            <w:r>
              <w:t>发放工作时间</w:t>
            </w:r>
          </w:p>
        </w:tc>
        <w:tc>
          <w:tcPr>
            <w:tcW w:w="2551" w:type="dxa"/>
            <w:vAlign w:val="center"/>
          </w:tcPr>
          <w:p>
            <w:pPr>
              <w:pStyle w:val="32"/>
            </w:pPr>
            <w:r>
              <w:t>按月发放</w:t>
            </w:r>
          </w:p>
        </w:tc>
        <w:tc>
          <w:tcPr>
            <w:tcW w:w="2268" w:type="dxa"/>
            <w:vAlign w:val="center"/>
          </w:tcPr>
          <w:p>
            <w:pPr>
              <w:pStyle w:val="32"/>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在职人员人均补贴额</w:t>
            </w:r>
          </w:p>
        </w:tc>
        <w:tc>
          <w:tcPr>
            <w:tcW w:w="2835" w:type="dxa"/>
            <w:vAlign w:val="center"/>
          </w:tcPr>
          <w:p>
            <w:pPr>
              <w:pStyle w:val="32"/>
            </w:pPr>
            <w:r>
              <w:t>在职人员人均补贴额</w:t>
            </w:r>
          </w:p>
        </w:tc>
        <w:tc>
          <w:tcPr>
            <w:tcW w:w="2551" w:type="dxa"/>
            <w:vAlign w:val="center"/>
          </w:tcPr>
          <w:p>
            <w:pPr>
              <w:pStyle w:val="32"/>
            </w:pPr>
            <w:r>
              <w:t>≤8.6万元</w:t>
            </w:r>
          </w:p>
        </w:tc>
        <w:tc>
          <w:tcPr>
            <w:tcW w:w="2268" w:type="dxa"/>
            <w:vAlign w:val="center"/>
          </w:tcPr>
          <w:p>
            <w:pPr>
              <w:pStyle w:val="32"/>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有责投诉数</w:t>
            </w:r>
          </w:p>
        </w:tc>
        <w:tc>
          <w:tcPr>
            <w:tcW w:w="2835" w:type="dxa"/>
            <w:vAlign w:val="center"/>
          </w:tcPr>
          <w:p>
            <w:pPr>
              <w:pStyle w:val="32"/>
            </w:pPr>
            <w:r>
              <w:t>考察企业发展中心对补贴资金投诉情况</w:t>
            </w:r>
          </w:p>
        </w:tc>
        <w:tc>
          <w:tcPr>
            <w:tcW w:w="2551" w:type="dxa"/>
            <w:vAlign w:val="center"/>
          </w:tcPr>
          <w:p>
            <w:pPr>
              <w:pStyle w:val="32"/>
            </w:pPr>
            <w:r>
              <w:t>≤1起</w:t>
            </w:r>
          </w:p>
        </w:tc>
        <w:tc>
          <w:tcPr>
            <w:tcW w:w="2268" w:type="dxa"/>
            <w:vAlign w:val="center"/>
          </w:tcPr>
          <w:p>
            <w:pPr>
              <w:pStyle w:val="32"/>
            </w:pPr>
            <w:r>
              <w:t>上访记录表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经济效益指标</w:t>
            </w:r>
          </w:p>
        </w:tc>
        <w:tc>
          <w:tcPr>
            <w:tcW w:w="2835" w:type="dxa"/>
            <w:vAlign w:val="center"/>
          </w:tcPr>
          <w:p>
            <w:pPr>
              <w:pStyle w:val="32"/>
            </w:pPr>
            <w:r>
              <w:t>长效管理机制健全性</w:t>
            </w:r>
          </w:p>
        </w:tc>
        <w:tc>
          <w:tcPr>
            <w:tcW w:w="2835" w:type="dxa"/>
            <w:vAlign w:val="center"/>
          </w:tcPr>
          <w:p>
            <w:pPr>
              <w:pStyle w:val="32"/>
            </w:pPr>
            <w:r>
              <w:t>企业发展促进中心专项经费补贴长期性</w:t>
            </w:r>
          </w:p>
        </w:tc>
        <w:tc>
          <w:tcPr>
            <w:tcW w:w="2551" w:type="dxa"/>
            <w:vAlign w:val="center"/>
          </w:tcPr>
          <w:p>
            <w:pPr>
              <w:pStyle w:val="32"/>
            </w:pPr>
            <w:r>
              <w:t>长期</w:t>
            </w:r>
          </w:p>
        </w:tc>
        <w:tc>
          <w:tcPr>
            <w:tcW w:w="2268" w:type="dxa"/>
            <w:vAlign w:val="center"/>
          </w:tcPr>
          <w:p>
            <w:pPr>
              <w:pStyle w:val="32"/>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企业发展促进中心人员对经费发放满意度</w:t>
            </w:r>
          </w:p>
        </w:tc>
        <w:tc>
          <w:tcPr>
            <w:tcW w:w="2835" w:type="dxa"/>
            <w:vAlign w:val="center"/>
          </w:tcPr>
          <w:p>
            <w:pPr>
              <w:pStyle w:val="32"/>
            </w:pPr>
            <w:r>
              <w:t>企业发展促进中心人员对经费发放满意度</w:t>
            </w:r>
          </w:p>
        </w:tc>
        <w:tc>
          <w:tcPr>
            <w:tcW w:w="2551" w:type="dxa"/>
            <w:vAlign w:val="center"/>
          </w:tcPr>
          <w:p>
            <w:pPr>
              <w:pStyle w:val="32"/>
            </w:pPr>
            <w:r>
              <w:t>≥95%</w:t>
            </w:r>
          </w:p>
        </w:tc>
        <w:tc>
          <w:tcPr>
            <w:tcW w:w="2268" w:type="dxa"/>
            <w:vAlign w:val="center"/>
          </w:tcPr>
          <w:p>
            <w:pPr>
              <w:pStyle w:val="32"/>
            </w:pPr>
            <w:r>
              <w:t>走访调查</w:t>
            </w:r>
          </w:p>
        </w:tc>
      </w:tr>
    </w:tbl>
    <w:p>
      <w:pPr>
        <w:pStyle w:val="30"/>
      </w:pPr>
    </w:p>
    <w:p>
      <w:pPr>
        <w:pStyle w:val="30"/>
        <w:ind w:firstLine="560"/>
      </w:pPr>
      <w:r>
        <w:rPr>
          <w:rFonts w:ascii="方正仿宋_GBK" w:hAnsi="方正仿宋_GBK" w:eastAsia="方正仿宋_GBK" w:cs="方正仿宋_GBK"/>
          <w:b/>
          <w:color w:val="000000"/>
          <w:sz w:val="28"/>
        </w:rPr>
        <w:t>13、市国资委监管企业外部董事服务管理费绩效目标表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配备外部董事人数</w:t>
            </w:r>
          </w:p>
        </w:tc>
        <w:tc>
          <w:tcPr>
            <w:tcW w:w="2835" w:type="dxa"/>
            <w:vAlign w:val="center"/>
          </w:tcPr>
          <w:p>
            <w:pPr>
              <w:pStyle w:val="32"/>
            </w:pPr>
            <w:r>
              <w:t>配备外部董事人数</w:t>
            </w:r>
          </w:p>
        </w:tc>
        <w:tc>
          <w:tcPr>
            <w:tcW w:w="2551" w:type="dxa"/>
            <w:vAlign w:val="center"/>
          </w:tcPr>
          <w:p>
            <w:pPr>
              <w:pStyle w:val="32"/>
            </w:pPr>
            <w:r>
              <w:t>19人</w:t>
            </w:r>
          </w:p>
        </w:tc>
        <w:tc>
          <w:tcPr>
            <w:tcW w:w="2268" w:type="dxa"/>
            <w:vAlign w:val="center"/>
          </w:tcPr>
          <w:p>
            <w:pPr>
              <w:pStyle w:val="32"/>
            </w:pPr>
            <w:r>
              <w:t>市国资委党委研究决定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配备外部董事企业数量</w:t>
            </w:r>
          </w:p>
        </w:tc>
        <w:tc>
          <w:tcPr>
            <w:tcW w:w="2835" w:type="dxa"/>
            <w:vAlign w:val="center"/>
          </w:tcPr>
          <w:p>
            <w:pPr>
              <w:pStyle w:val="32"/>
            </w:pPr>
            <w:r>
              <w:t>配备外部董事企业数量</w:t>
            </w:r>
          </w:p>
        </w:tc>
        <w:tc>
          <w:tcPr>
            <w:tcW w:w="2551" w:type="dxa"/>
            <w:vAlign w:val="center"/>
          </w:tcPr>
          <w:p>
            <w:pPr>
              <w:pStyle w:val="32"/>
            </w:pPr>
            <w:r>
              <w:t>19家</w:t>
            </w:r>
          </w:p>
        </w:tc>
        <w:tc>
          <w:tcPr>
            <w:tcW w:w="2268" w:type="dxa"/>
            <w:vAlign w:val="center"/>
          </w:tcPr>
          <w:p>
            <w:pPr>
              <w:pStyle w:val="32"/>
            </w:pPr>
            <w:r>
              <w:t>市国资委党委研究决定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配备外部董事监管企业（国有独资、全资）覆盖率</w:t>
            </w:r>
          </w:p>
        </w:tc>
        <w:tc>
          <w:tcPr>
            <w:tcW w:w="2835" w:type="dxa"/>
            <w:vAlign w:val="center"/>
          </w:tcPr>
          <w:p>
            <w:pPr>
              <w:pStyle w:val="32"/>
            </w:pPr>
            <w:r>
              <w:t>配备外部董事监管企业（国有独资、全资）覆盖率</w:t>
            </w:r>
          </w:p>
        </w:tc>
        <w:tc>
          <w:tcPr>
            <w:tcW w:w="2551" w:type="dxa"/>
            <w:vAlign w:val="center"/>
          </w:tcPr>
          <w:p>
            <w:pPr>
              <w:pStyle w:val="32"/>
            </w:pPr>
            <w:r>
              <w:t>100%</w:t>
            </w:r>
          </w:p>
        </w:tc>
        <w:tc>
          <w:tcPr>
            <w:tcW w:w="2268" w:type="dxa"/>
            <w:vAlign w:val="center"/>
          </w:tcPr>
          <w:p>
            <w:pPr>
              <w:pStyle w:val="32"/>
            </w:pPr>
            <w:r>
              <w:t>市国资委党委研究决定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配齐外部董事时间</w:t>
            </w:r>
          </w:p>
        </w:tc>
        <w:tc>
          <w:tcPr>
            <w:tcW w:w="2835" w:type="dxa"/>
            <w:vAlign w:val="center"/>
          </w:tcPr>
          <w:p>
            <w:pPr>
              <w:pStyle w:val="32"/>
            </w:pPr>
            <w:r>
              <w:t>配齐外部董事时间</w:t>
            </w:r>
          </w:p>
        </w:tc>
        <w:tc>
          <w:tcPr>
            <w:tcW w:w="2551" w:type="dxa"/>
            <w:vAlign w:val="center"/>
          </w:tcPr>
          <w:p>
            <w:pPr>
              <w:pStyle w:val="32"/>
            </w:pPr>
            <w:r>
              <w:t>6月底前</w:t>
            </w:r>
          </w:p>
        </w:tc>
        <w:tc>
          <w:tcPr>
            <w:tcW w:w="2268" w:type="dxa"/>
            <w:vAlign w:val="center"/>
          </w:tcPr>
          <w:p>
            <w:pPr>
              <w:pStyle w:val="32"/>
            </w:pPr>
            <w:r>
              <w:t>市国资委党委研究决定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 xml:space="preserve">人均年薪酬、履职待遇 </w:t>
            </w:r>
          </w:p>
        </w:tc>
        <w:tc>
          <w:tcPr>
            <w:tcW w:w="2835" w:type="dxa"/>
            <w:vAlign w:val="center"/>
          </w:tcPr>
          <w:p>
            <w:pPr>
              <w:pStyle w:val="32"/>
            </w:pPr>
            <w:r>
              <w:t xml:space="preserve">人均年薪酬、履职待遇 </w:t>
            </w:r>
          </w:p>
        </w:tc>
        <w:tc>
          <w:tcPr>
            <w:tcW w:w="2551" w:type="dxa"/>
            <w:vAlign w:val="center"/>
          </w:tcPr>
          <w:p>
            <w:pPr>
              <w:pStyle w:val="32"/>
            </w:pPr>
            <w:r>
              <w:t>14.61万元</w:t>
            </w:r>
          </w:p>
        </w:tc>
        <w:tc>
          <w:tcPr>
            <w:tcW w:w="2268" w:type="dxa"/>
            <w:vAlign w:val="center"/>
          </w:tcPr>
          <w:p>
            <w:pPr>
              <w:pStyle w:val="32"/>
            </w:pPr>
            <w:r>
              <w:t>国企改革三年行动方案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防范风险科学决策</w:t>
            </w:r>
          </w:p>
        </w:tc>
        <w:tc>
          <w:tcPr>
            <w:tcW w:w="2835" w:type="dxa"/>
            <w:vAlign w:val="center"/>
          </w:tcPr>
          <w:p>
            <w:pPr>
              <w:pStyle w:val="32"/>
            </w:pPr>
            <w:r>
              <w:t>企业董事会会议发表意见或建议</w:t>
            </w:r>
          </w:p>
        </w:tc>
        <w:tc>
          <w:tcPr>
            <w:tcW w:w="2551" w:type="dxa"/>
            <w:vAlign w:val="center"/>
          </w:tcPr>
          <w:p>
            <w:pPr>
              <w:pStyle w:val="32"/>
            </w:pPr>
            <w:r>
              <w:t>≥50条</w:t>
            </w:r>
          </w:p>
        </w:tc>
        <w:tc>
          <w:tcPr>
            <w:tcW w:w="2268" w:type="dxa"/>
            <w:vAlign w:val="center"/>
          </w:tcPr>
          <w:p>
            <w:pPr>
              <w:pStyle w:val="32"/>
            </w:pPr>
            <w:r>
              <w:t>企业董事会会议记录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出资人和派驻企业满意度</w:t>
            </w:r>
          </w:p>
        </w:tc>
        <w:tc>
          <w:tcPr>
            <w:tcW w:w="2835" w:type="dxa"/>
            <w:vAlign w:val="center"/>
          </w:tcPr>
          <w:p>
            <w:pPr>
              <w:pStyle w:val="32"/>
            </w:pPr>
            <w:r>
              <w:t>出资人和派驻企业满意度</w:t>
            </w:r>
          </w:p>
        </w:tc>
        <w:tc>
          <w:tcPr>
            <w:tcW w:w="2551" w:type="dxa"/>
            <w:vAlign w:val="center"/>
          </w:tcPr>
          <w:p>
            <w:pPr>
              <w:pStyle w:val="32"/>
            </w:pPr>
            <w:r>
              <w:t>≥95%</w:t>
            </w:r>
          </w:p>
        </w:tc>
        <w:tc>
          <w:tcPr>
            <w:tcW w:w="2268" w:type="dxa"/>
            <w:vAlign w:val="center"/>
          </w:tcPr>
          <w:p>
            <w:pPr>
              <w:pStyle w:val="32"/>
            </w:pPr>
            <w:r>
              <w:t>满意度调查</w:t>
            </w:r>
          </w:p>
        </w:tc>
      </w:tr>
    </w:tbl>
    <w:p>
      <w:pPr>
        <w:pStyle w:val="30"/>
      </w:pPr>
    </w:p>
    <w:p>
      <w:pPr>
        <w:pStyle w:val="30"/>
        <w:spacing w:line="2" w:lineRule="exact"/>
        <w:jc w:val="center"/>
      </w:pPr>
    </w:p>
    <w:p>
      <w:pPr>
        <w:pStyle w:val="30"/>
      </w:pPr>
    </w:p>
    <w:p>
      <w:pPr>
        <w:pStyle w:val="30"/>
        <w:spacing w:line="2" w:lineRule="exact"/>
        <w:jc w:val="cente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0.00</w:t>
      </w:r>
      <w:r>
        <w:rPr>
          <w:rFonts w:ascii="Times New Roman" w:hAnsi="Times New Roman" w:eastAsia="仿宋_GB2312" w:cs="Times New Roman"/>
          <w:sz w:val="32"/>
          <w:szCs w:val="24"/>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731廊坊市人民政府国有资产监督管理委员会</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spacing w:line="584" w:lineRule="exact"/>
        <w:ind w:firstLine="640" w:firstLineChars="200"/>
        <w:outlineLvl w:val="0"/>
        <w:rPr>
          <w:rFonts w:ascii="Times New Roman" w:hAnsi="Times New Roman" w:eastAsia="仿宋_GB2312" w:cs="Times New Roman"/>
          <w:sz w:val="32"/>
          <w:szCs w:val="24"/>
        </w:rPr>
      </w:pPr>
    </w:p>
    <w:bookmarkEnd w:id="0"/>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2212.83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总额为0.00万元，已按要求列入政府采购预算，详见政府采购预算表</w:t>
      </w:r>
      <w:r>
        <w:rPr>
          <w:rFonts w:ascii="Times New Roman" w:hAnsi="Times New Roman" w:eastAsia="仿宋_GB2312" w:cs="Times New Roman"/>
          <w:sz w:val="32"/>
          <w:szCs w:val="32"/>
        </w:rPr>
        <w:t>。</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廊坊市人民政府国有资产监督管理委员会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2212.83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2041.41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2041.41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856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171.42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43</w:t>
    </w:r>
    <w:r>
      <w:rPr>
        <w:lang w:val="zh-CN"/>
      </w:rPr>
      <w:fldChar w:fldCharType="end"/>
    </w:r>
    <w:r>
      <w:rPr>
        <w:rFonts w:hint="eastAsia"/>
      </w:rPr>
      <w:t>-</w:t>
    </w:r>
  </w:p>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ZWI4Y2U3NzY1YjFiZmY4N2QxNWQ2YmFiZTQxYzkifQ=="/>
  </w:docVars>
  <w:rsids>
    <w:rsidRoot w:val="00D347CC"/>
    <w:rsid w:val="000230E6"/>
    <w:rsid w:val="00051ED9"/>
    <w:rsid w:val="000C5D4C"/>
    <w:rsid w:val="00141A29"/>
    <w:rsid w:val="0019264E"/>
    <w:rsid w:val="001A46A4"/>
    <w:rsid w:val="001E2B89"/>
    <w:rsid w:val="001F5424"/>
    <w:rsid w:val="0025632D"/>
    <w:rsid w:val="002C6347"/>
    <w:rsid w:val="00312330"/>
    <w:rsid w:val="0034037A"/>
    <w:rsid w:val="00361688"/>
    <w:rsid w:val="0036341A"/>
    <w:rsid w:val="003A4136"/>
    <w:rsid w:val="004977D9"/>
    <w:rsid w:val="004A54AA"/>
    <w:rsid w:val="005D2D11"/>
    <w:rsid w:val="005D3423"/>
    <w:rsid w:val="006220EE"/>
    <w:rsid w:val="00646527"/>
    <w:rsid w:val="00695035"/>
    <w:rsid w:val="006C5E98"/>
    <w:rsid w:val="00765BA4"/>
    <w:rsid w:val="007C2850"/>
    <w:rsid w:val="007E09BD"/>
    <w:rsid w:val="007F1ABF"/>
    <w:rsid w:val="009032C0"/>
    <w:rsid w:val="00944233"/>
    <w:rsid w:val="009B28BF"/>
    <w:rsid w:val="009C6B59"/>
    <w:rsid w:val="00AC186C"/>
    <w:rsid w:val="00B02D39"/>
    <w:rsid w:val="00B22832"/>
    <w:rsid w:val="00B22F1A"/>
    <w:rsid w:val="00B40732"/>
    <w:rsid w:val="00B80935"/>
    <w:rsid w:val="00BA72F9"/>
    <w:rsid w:val="00BB52BB"/>
    <w:rsid w:val="00C033A1"/>
    <w:rsid w:val="00CA2F70"/>
    <w:rsid w:val="00D274CB"/>
    <w:rsid w:val="00D347CC"/>
    <w:rsid w:val="00D85647"/>
    <w:rsid w:val="00D86D63"/>
    <w:rsid w:val="00DD2B17"/>
    <w:rsid w:val="00E74A8B"/>
    <w:rsid w:val="00EC0CC2"/>
    <w:rsid w:val="00F45FFB"/>
    <w:rsid w:val="00F76BEE"/>
    <w:rsid w:val="09755018"/>
    <w:rsid w:val="17E5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44"/>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4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table" w:styleId="9">
    <w:name w:val="Table Grid"/>
    <w:basedOn w:val="8"/>
    <w:qFormat/>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21">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22">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3">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7">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0">
    <w:name w:val="Normal_311911ff-6986-4e13-9822-e75ecb823dff"/>
    <w:qFormat/>
    <w:uiPriority w:val="0"/>
    <w:rPr>
      <w:rFonts w:ascii="Times New Roman" w:hAnsi="Times New Roman" w:eastAsia="Times New Roman" w:cs="Times New Roman"/>
      <w:sz w:val="24"/>
      <w:szCs w:val="24"/>
      <w:lang w:val="en-US" w:eastAsia="uk-UA" w:bidi="ar-SA"/>
    </w:rPr>
  </w:style>
  <w:style w:type="paragraph" w:customStyle="1" w:styleId="31">
    <w:name w:val="单元格样式1_9b7d6ad4-3184-4548-b501-aea28389251c"/>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2">
    <w:name w:val="单元格样式2_0280ee57-576b-4c4c-9ac4-850f8606b69a"/>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3">
    <w:name w:val="单元格样式3_c3bee285-5dbd-4cc0-8988-bcc00a9a112a"/>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3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5">
    <w:name w:val="插入文本样式-插入单位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6">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7">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8">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9">
    <w:name w:val="目录 21"/>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40">
    <w:name w:val="目录 31"/>
    <w:basedOn w:val="1"/>
    <w:qFormat/>
    <w:uiPriority w:val="0"/>
    <w:pPr>
      <w:widowControl/>
      <w:ind w:left="480"/>
      <w:jc w:val="left"/>
    </w:pPr>
    <w:rPr>
      <w:rFonts w:ascii="Times New Roman" w:hAnsi="Times New Roman" w:eastAsia="Times New Roman" w:cs="Times New Roman"/>
      <w:kern w:val="0"/>
      <w:sz w:val="24"/>
      <w:szCs w:val="24"/>
      <w:lang w:eastAsia="uk-UA"/>
    </w:rPr>
  </w:style>
  <w:style w:type="paragraph" w:customStyle="1" w:styleId="41">
    <w:name w:val="目录 41"/>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42">
    <w:name w:val="目录 11"/>
    <w:basedOn w:val="1"/>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character" w:customStyle="1" w:styleId="43">
    <w:name w:val="页眉 Char"/>
    <w:basedOn w:val="10"/>
    <w:link w:val="4"/>
    <w:qFormat/>
    <w:uiPriority w:val="99"/>
    <w:rPr>
      <w:kern w:val="2"/>
      <w:sz w:val="18"/>
      <w:szCs w:val="18"/>
    </w:rPr>
  </w:style>
  <w:style w:type="character" w:customStyle="1" w:styleId="44">
    <w:name w:val="页脚 Char"/>
    <w:basedOn w:val="10"/>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7C11B-879A-48F1-9D47-DBE7249C84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2534</Words>
  <Characters>14446</Characters>
  <Lines>120</Lines>
  <Paragraphs>33</Paragraphs>
  <TotalTime>9109</TotalTime>
  <ScaleCrop>false</ScaleCrop>
  <LinksUpToDate>false</LinksUpToDate>
  <CharactersWithSpaces>16947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Queen</cp:lastModifiedBy>
  <cp:lastPrinted>2018-01-30T06:12:00Z</cp:lastPrinted>
  <dcterms:modified xsi:type="dcterms:W3CDTF">2023-11-04T05:17:50Z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3BA3A0BAC9854013813972729B330ACA_13</vt:lpwstr>
  </property>
</Properties>
</file>