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1" w:name="_GoBack"/>
      <w:bookmarkEnd w:id="1"/>
      <w:r>
        <w:rPr>
          <w:rFonts w:hint="eastAsia" w:ascii="Times New Roman" w:hAnsi="Times New Roman" w:eastAsia="方正小标宋简体" w:cs="Times New Roman"/>
          <w:sz w:val="44"/>
          <w:szCs w:val="44"/>
        </w:rPr>
        <w:t>廊坊市人民政府国有资产监督管理委员会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《中华人民共和国预算法》</w:t>
      </w:r>
      <w:r>
        <w:rPr>
          <w:rFonts w:hint="eastAsia" w:ascii="Times New Roman" w:hAnsi="Times New Roman" w:eastAsia="仿宋_GB2312" w:cs="Times New Roman"/>
          <w:sz w:val="32"/>
          <w:szCs w:val="32"/>
        </w:rPr>
        <w:t>、《地方预决算公开操作规程》和《关于进一步推进预算公开工作的实施意见》规定，现将廊坊市人民政府国有资产监督管理委员会2023年部门预算公开如下：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(一)</w:t>
      </w:r>
      <w:r>
        <w:rPr>
          <w:rFonts w:hint="eastAsia" w:ascii="Times New Roman" w:hAnsi="Times New Roman" w:eastAsia="仿宋_GB2312" w:cs="Times New Roman"/>
          <w:sz w:val="32"/>
          <w:szCs w:val="32"/>
        </w:rPr>
        <w:t>根据市政府授权，依照《中华人民共和国企业国有资产法》《中华人民共和国公司法》等法律和行政法规履行出资人职责，监管履行出资人职责企业的国有资产，加强国有资产的管理工作。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(二)</w:t>
      </w:r>
      <w:r>
        <w:rPr>
          <w:rFonts w:hint="eastAsia" w:ascii="Times New Roman" w:hAnsi="Times New Roman" w:eastAsia="仿宋_GB2312" w:cs="Times New Roman"/>
          <w:sz w:val="32"/>
          <w:szCs w:val="32"/>
        </w:rPr>
        <w:t>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(三)</w:t>
      </w:r>
      <w:r>
        <w:rPr>
          <w:rFonts w:hint="eastAsia" w:ascii="Times New Roman" w:hAnsi="Times New Roman" w:eastAsia="仿宋_GB2312" w:cs="Times New Roman"/>
          <w:sz w:val="32"/>
          <w:szCs w:val="32"/>
        </w:rPr>
        <w:t>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(四)</w:t>
      </w:r>
      <w:r>
        <w:rPr>
          <w:rFonts w:hint="eastAsia" w:ascii="Times New Roman" w:hAnsi="Times New Roman" w:eastAsia="仿宋_GB2312" w:cs="Times New Roman"/>
          <w:sz w:val="32"/>
          <w:szCs w:val="32"/>
        </w:rPr>
        <w:t>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(五)</w:t>
      </w:r>
      <w:r>
        <w:rPr>
          <w:rFonts w:hint="eastAsia" w:ascii="Times New Roman" w:hAnsi="Times New Roman" w:eastAsia="仿宋_GB2312" w:cs="Times New Roman"/>
          <w:sz w:val="32"/>
          <w:szCs w:val="32"/>
        </w:rPr>
        <w:t>负责通过法定程序对所监管企业负责人进行任免、考核，并根据其经营业绩进行奖惩。</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(六)</w:t>
      </w:r>
      <w:r>
        <w:rPr>
          <w:rFonts w:hint="eastAsia" w:ascii="Times New Roman" w:hAnsi="Times New Roman" w:eastAsia="仿宋_GB2312" w:cs="Times New Roman"/>
          <w:sz w:val="32"/>
          <w:szCs w:val="32"/>
        </w:rPr>
        <w:t>负责组织所监管企业上交国有资本收益，参与制定国有资本经营预算有关管理制度和办法，按照有关规定负责国有资本经营预决算编制和执行等工作。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(七)</w:t>
      </w:r>
      <w:r>
        <w:rPr>
          <w:rFonts w:hint="eastAsia" w:ascii="Times New Roman" w:hAnsi="Times New Roman" w:eastAsia="仿宋_GB2312" w:cs="Times New Roman"/>
          <w:sz w:val="32"/>
          <w:szCs w:val="32"/>
        </w:rPr>
        <w:t>负责有关监督成果的利用工作，分类处置、督办和深入核查监督检查发现移交的问题，对共性问题组织开展专项核查，组织开展国有资产重大损失调查，提出有关责任追究的意见建议。</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(八)</w:t>
      </w:r>
      <w:r>
        <w:rPr>
          <w:rFonts w:hint="eastAsia" w:ascii="Times New Roman" w:hAnsi="Times New Roman" w:eastAsia="仿宋_GB2312" w:cs="Times New Roman"/>
          <w:sz w:val="32"/>
          <w:szCs w:val="32"/>
        </w:rPr>
        <w:t>按照出资人职责，负责督促检查所监管企业贯彻落实国家安全生产方针政策及有关法律法规、标准等工作。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(九)</w:t>
      </w:r>
      <w:r>
        <w:rPr>
          <w:rFonts w:hint="eastAsia" w:ascii="Times New Roman" w:hAnsi="Times New Roman" w:eastAsia="仿宋_GB2312" w:cs="Times New Roman"/>
          <w:sz w:val="32"/>
          <w:szCs w:val="32"/>
        </w:rPr>
        <w:t>负责企业国有资产基础管理，贯彻落实国家有关国有资产管理的法律法规，制定国有资产管理的有关制度和办法，依法对县（市、区）、廊坊开发区国有资产管理工作进行指导和监督。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w:t>
      </w:r>
      <w:r>
        <w:rPr>
          <w:rFonts w:hint="eastAsia" w:ascii="Times New Roman" w:hAnsi="Times New Roman" w:eastAsia="仿宋_GB2312" w:cs="Times New Roman"/>
          <w:sz w:val="32"/>
          <w:szCs w:val="32"/>
        </w:rPr>
        <w:t>建立健全党建工作责任制，完善企业党建工作考核评价体系，开展所监管企业党建工作考核；指导所监管企业开展党的建设工作。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(十一)</w:t>
      </w:r>
      <w:r>
        <w:rPr>
          <w:rFonts w:hint="eastAsia" w:ascii="Times New Roman" w:hAnsi="Times New Roman" w:eastAsia="仿宋_GB2312" w:cs="Times New Roman"/>
          <w:sz w:val="32"/>
          <w:szCs w:val="32"/>
        </w:rPr>
        <w:t>指导所监管企业和委属事业单位对巡视巡察、专项检查、审计中发现问题的整改。</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(十二)</w:t>
      </w:r>
      <w:r>
        <w:rPr>
          <w:rFonts w:hint="eastAsia" w:ascii="Times New Roman" w:hAnsi="Times New Roman" w:eastAsia="仿宋_GB2312" w:cs="Times New Roman"/>
          <w:sz w:val="32"/>
          <w:szCs w:val="32"/>
        </w:rPr>
        <w:t>对所监管集体企业资产进行监督管理，维护集体经济合法权益，促进集体经济发展。</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(十三)</w:t>
      </w:r>
      <w:r>
        <w:rPr>
          <w:rFonts w:hint="eastAsia" w:ascii="Times New Roman" w:hAnsi="Times New Roman" w:eastAsia="仿宋_GB2312" w:cs="Times New Roman"/>
          <w:sz w:val="32"/>
          <w:szCs w:val="32"/>
        </w:rPr>
        <w:t>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廊坊市人民政府国有资产监督管理委员会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廊坊市人民政府国有资产监督管理委员会商贸办公室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rPr>
        <w:t>人民政府国有资产监督管理委员会</w:t>
      </w:r>
      <w:r>
        <w:rPr>
          <w:rFonts w:ascii="Times New Roman" w:hAnsi="Times New Roman" w:eastAsia="仿宋_GB2312" w:cs="Times New Roman"/>
          <w:sz w:val="32"/>
          <w:szCs w:val="32"/>
        </w:rPr>
        <w:t>机关</w:t>
      </w:r>
      <w:r>
        <w:rPr>
          <w:rFonts w:ascii="Times New Roman" w:hAnsi="Times New Roman" w:eastAsia="仿宋_GB2312" w:cs="Times New Roman"/>
          <w:color w:val="000000" w:themeColor="text1"/>
          <w:sz w:val="32"/>
          <w:szCs w:val="32"/>
        </w:rPr>
        <w:t>及所属</w:t>
      </w:r>
      <w:r>
        <w:rPr>
          <w:rFonts w:hint="eastAsia" w:ascii="Times New Roman" w:hAnsi="Times New Roman" w:eastAsia="仿宋_GB2312" w:cs="Times New Roman"/>
          <w:color w:val="000000" w:themeColor="text1"/>
          <w:sz w:val="32"/>
          <w:szCs w:val="32"/>
        </w:rPr>
        <w:t>预算</w:t>
      </w:r>
      <w:r>
        <w:rPr>
          <w:rFonts w:ascii="Times New Roman" w:hAnsi="Times New Roman" w:eastAsia="仿宋_GB2312" w:cs="Times New Roman"/>
          <w:color w:val="000000" w:themeColor="text1"/>
          <w:sz w:val="32"/>
          <w:szCs w:val="32"/>
        </w:rPr>
        <w:t>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2023年预算收入8294.46万元，其中：一般公共预算收入6498.46万元，基金预算收入0万元，国有资本经营预算收入1796万元，财政专户核拨收入0万元，单位资金收入0万元，上年结转结余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人民政府国有资产监督管理委员会部门预算中支出预算的总体情况。2023年支出预算8294.46万元，其中基本支出3266.46万元，包括人员经费支出2983.47万元和日常公用经费支出282.99万元；项目支出5028万元，主要为一般公共预算支持国有企事业发展等专项资金3232万元、国有资本经营预算安排项目资金1796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预算收支安排8294.46万元，较2022年预算减少70.67万元，其中：基本支出增加5.95万元，主要为人员经费支出增加5.34万元，日常公用经费支出增加0.61万元；项目支出减少76.62万元，主要为一般公共预算安排项目国企职教幼教退休教师项目增加资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2023年，我部门运行经费共计安排282.99万元，主要用于日常维修、办公用房水电费、办公用房取暖费、办公用房物业管理费等日常运行支出。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我部门财政拨款“三公”经费预算安排6.53万元，其中因公出国（境）费0万元；公务用车购置及运维费5.02万元（其中：公务用车购置费为0万元，公务用车运维费5.02万元)；公务接待费1.51万元。与2022年相比减少0.98万元，其中，公务用车购置及运维费减少0.98万元（其中：公务用车购置费0万元，公务用车运维费减少0.98万元)，减少的主要原因是我部门切实落实勤俭节约各项规定，压减公车运行经费支出。公务接待费1.51万元与2022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深入贯彻党的二十大精神，全面落实省、市工作部署和重大决策，坚持新发展理念和高质量发展要求，以改革求突破，用创新谋发展，全力以赴开创国有经济发展新局面。健全完善国有企业领导班子和领导人员经营业绩考核体系，完成国企改革三年行动圆满收官工作；优化国有资产结构布局，推动国有资产重组整合，提升国有企业产业带动能力和公共服务水平；完善国有企业监管协调协作机制，强化监管企业财务预算管理，加强企业财务指标动态监测和经济运行分析，切实防范化解国有企业债务融资、项目投资、经营决策、生产安全等领域风险隐患，为全市经济社会发展、民生保障贡献国资力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完成监管企业上一年度产权登记信息统计</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绩效目标：完成监管企业上一年度产权登记信息统计工作，及时掌握企业产权变化状况。</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绩效指标：对监管企业上一年度产权信息进行统计登记统计，合规率不低于90%。    </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积极做好国有资产数据统计分析利用工作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绩效目标：向省国资委上报廊坊市国有企业经济运行情况快报报表；每年向省国资委、市人大、市统计局报送廊坊市国有企业年度决算报表。</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绩效指标：组织廊坊市国有企业每月8日前向省国资委上报经济运行情况快报报表；向省国资委、市人大、市统计局报送年度决算报表。及时合规上报相关数据，组织企业不少于100余家。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编制完成国有资本经营预算建议计划，做好国有资本收益上缴工作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绩效目标：编制国有资本经营预算建议计划，组织做好国有资本收益上缴工作。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严格按照《廊坊市市级国有资本经营预算管理办法》（廊财建〔2020〕84号）《廊坊市财政局关于市属企业国有资本收益征收有关问题的通知》（廊财建〔2019〕86号）文件要求，审核完成90%以上应缴收益企业。12月底前，完成国有资本经营预算建议计划编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 xml:space="preserve">完成企业领导人员任免和考核工作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法定程序对所监管企业法人进行任免、考核，深入研究企业实际、行业特点和岗位需求，运用定性评价与定量考核相结合、多维度测评等方式，完成对监管企业领导班子和领导人员进行年度综合考评评价和任免。</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绩效指标：考核监管企业和各企业领导班子成员覆盖率100%。对监管企业领导班子和领导人员进行年度综合考评评价和任免，考核称职率90%以上。</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推进全面从严治党主体责任落实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绩效目标：通过落实从严治党主体责任，确保全面从严治党要求贯彻落实。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绩效指标：调整完善落实全面从严治党主体责任清单，形成目标明确、行之有效的制度运行体系，确保全面从严治党主体责任100%落实。</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绩效指标：提升各项改革任务完成质量和实际效果，认真归纳整理各项任务佐证资料，完成国企改革三年行动收官。</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完成2022年度监管企业负责人经营业绩考核评价及2023年指标下达。</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绩效目标：完成17家监管企业（含参股企业、领导人员由我委管理的子企业）及具备条件的新纳入监管企业负责人经营业绩考核评价工作，并确定考核结果。绩效指标：完善监管企业中国特色现代企业制度。</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8、</w:t>
      </w:r>
      <w:r>
        <w:rPr>
          <w:rFonts w:hint="eastAsia" w:ascii="仿宋_GB2312" w:eastAsia="仿宋_GB2312" w:cs="Times New Roman"/>
          <w:sz w:val="32"/>
          <w:szCs w:val="32"/>
        </w:rPr>
        <w:t>完成国有企业退休人员社会化管理财政补助资金补助工作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绩效目标：完成国有企业退休人员社会化管理财政补助资金补助工作，切实减轻企业负担。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绩效指标：会同市财政局完成国企退休人员社会化管理补助资金统计工作。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9、</w:t>
      </w:r>
      <w:r>
        <w:rPr>
          <w:rFonts w:hint="eastAsia" w:ascii="仿宋_GB2312" w:eastAsia="仿宋_GB2312" w:cs="Times New Roman"/>
          <w:sz w:val="32"/>
          <w:szCs w:val="32"/>
        </w:rPr>
        <w:t>完成国有企业职教幼教退休教师待遇落实工作。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绩效目标：完成国有企业职教幼教退休教师待遇落实工作，维护国有企业职教幼教退休教师的合法权益和我市和谐稳定局面。</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绩效指标：完成538名国有企业职教幼教退休教师补贴资金的发放工作，补贴资金按时足额发放到位。</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10、</w:t>
      </w:r>
      <w:r>
        <w:rPr>
          <w:rFonts w:hint="eastAsia" w:ascii="仿宋_GB2312" w:eastAsia="仿宋_GB2312" w:cs="Times New Roman"/>
          <w:sz w:val="32"/>
          <w:szCs w:val="32"/>
        </w:rPr>
        <w:t>完成离退休干部慰问工作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绩效目标：通过完成离退休干部春节、重阳节、过生日、生病住院、去世等走访慰问体检工作，切实体现党和政府对老同志的关怀。</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绩效指标：完成159名老干部春节、重阳节走访慰问工作，完成慰问生病住院老干部、慰问去世老干部的遗属工作，完成35名老干部过生日走访慰问工作。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11、</w:t>
      </w:r>
      <w:r>
        <w:rPr>
          <w:rFonts w:hint="eastAsia" w:ascii="仿宋_GB2312" w:eastAsia="仿宋_GB2312" w:cs="Times New Roman"/>
          <w:sz w:val="32"/>
          <w:szCs w:val="32"/>
        </w:rPr>
        <w:t>国资系统安全生产和环境保护工作态势平稳</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绩效目标：达到廊坊市国资委监管企业不发生重大生产安全和生态环境保护事故。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 廊坊市国资委监管企业安全生产和生态环境保护事故0死亡人数。</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12、</w:t>
      </w:r>
      <w:r>
        <w:rPr>
          <w:rFonts w:hint="eastAsia" w:ascii="仿宋_GB2312" w:eastAsia="仿宋_GB2312" w:cs="Times New Roman"/>
          <w:sz w:val="32"/>
          <w:szCs w:val="32"/>
        </w:rPr>
        <w:t xml:space="preserve">完成所属单位职称申报工作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绩效目标：完成所属单位职称申报工作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绩效指标：指导所属单位完成职称申报工作，争取通过率在90%以上。 </w:t>
      </w:r>
    </w:p>
    <w:p>
      <w:pPr>
        <w:spacing w:line="584" w:lineRule="exact"/>
        <w:ind w:firstLine="640" w:firstLineChars="200"/>
        <w:rPr>
          <w:rFonts w:ascii="楷体_GB2312" w:eastAsia="楷体_GB2312" w:cs="Times New Roman"/>
          <w:b/>
          <w:sz w:val="32"/>
          <w:szCs w:val="32"/>
        </w:rPr>
      </w:pPr>
      <w:r>
        <w:rPr>
          <w:rFonts w:hint="eastAsia" w:ascii="仿宋_GB2312" w:eastAsia="仿宋_GB2312" w:cs="Times New Roman"/>
          <w:sz w:val="32"/>
          <w:szCs w:val="32"/>
        </w:rPr>
        <w:t xml:space="preserve"> </w:t>
      </w:r>
      <w:r>
        <w:rPr>
          <w:rFonts w:hint="eastAsia" w:ascii="楷体_GB2312" w:eastAsia="楷体_GB2312" w:cs="Times New Roman"/>
          <w:b/>
          <w:sz w:val="32"/>
          <w:szCs w:val="32"/>
        </w:rPr>
        <w:t>（三）工作保障措施</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善制度建设。我委在预算绩效制度工作中，统一领导，统筹谋划，分科管理，规范程序，有序推进。印发了《廊坊市人民政府国有资产监督管理委员会预算绩效管理办法》等科学规范、符合实际、便于操作的各项规章制度；着力加强预算绩效目标管理，完善绩效目标申报、审核、评价机制等各项制度。此外，还强化责任担当，把全面实施预算绩效管理摆上重要日程，科学安排部署，建立健全委预算绩效管理工作机制，形成了完备的预算绩效管理工作体系，筑牢制度基础。</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加强支出管理。我委遵循先有预算、后有支出原则，严格执行预算，严禁超预算或者无预算安排支出，通过优化支出结构、编细编实预算、按照支出程序及时支付资金、6月底前预算支出达到50%、10月底前支出90%。</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加强绩效运行监控。落实责任制度，明确项目单位责任，做到责任明确。建立了完善的报表制度，要求项目单位实时将工作进度与资金使用情况进行上报，及时进行绩效监督。建立了严格的项目资金预算管理监督制度，防止舞弊行为的发生，防止项目资金被挤占挪用。发现问题及时让项目单位整改，确保项目资金的有效使用。</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做好绩效自评。按要求开展上年度部门预算绩效自评和重点评价工作，对评价中发现的问题及时整改，调整优化支出结构，提高财政资金使用效益。</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规范财务资产管理。我委完善了财务管理制度，严格审批程序，完善了固定资产管理制度，加强固定资产登记、使用和报废处置管理，做到支出合理，物尽其用。</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加强内部监督。加强内部监督制度建设，对绩效运行情况、重大支出决策、对外投资、资产处置及其他重要经济业务事项的决策和执行进行督导，聘请中介机构对我委财务情况进行内部审计，并配合做好审计、财政监督等外部监督工作，确保财政资金安全有效。</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加强宣传培训调研。加强人员培训，拟开展1次监管企业领导人员能力提升专题培训班、1次法律教育培训，提升对监管企业的监管能力；加大宣传力度，强化预算绩效管理意识，促进预算绩效管理水平进一步提升。</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0" w:type="auto"/>
        <w:jc w:val="center"/>
        <w:tblLayout w:type="fixed"/>
        <w:tblCellMar>
          <w:top w:w="0" w:type="dxa"/>
          <w:left w:w="11" w:type="dxa"/>
          <w:bottom w:w="0" w:type="dxa"/>
          <w:right w:w="11" w:type="dxa"/>
        </w:tblCellMar>
      </w:tblPr>
      <w:tblGrid>
        <w:gridCol w:w="866"/>
        <w:gridCol w:w="848"/>
        <w:gridCol w:w="850"/>
        <w:gridCol w:w="1256"/>
        <w:gridCol w:w="1256"/>
        <w:gridCol w:w="464"/>
        <w:gridCol w:w="497"/>
        <w:gridCol w:w="495"/>
        <w:gridCol w:w="1796"/>
      </w:tblGrid>
      <w:tr>
        <w:tblPrEx>
          <w:tblCellMar>
            <w:top w:w="0" w:type="dxa"/>
            <w:left w:w="11" w:type="dxa"/>
            <w:bottom w:w="0" w:type="dxa"/>
            <w:right w:w="11" w:type="dxa"/>
          </w:tblCellMar>
        </w:tblPrEx>
        <w:trPr>
          <w:trHeight w:val="286"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一级指标</w:t>
            </w:r>
          </w:p>
        </w:tc>
        <w:tc>
          <w:tcPr>
            <w:tcW w:w="848" w:type="dxa"/>
            <w:vMerge w:val="restart"/>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二级</w:t>
            </w:r>
            <w:r>
              <w:rPr>
                <w:rFonts w:ascii="Times New Roman" w:hAnsi="Times New Roman" w:eastAsia="仿宋_GB2312" w:cs="Times New Roman"/>
                <w:kern w:val="0"/>
                <w:sz w:val="18"/>
                <w:szCs w:val="18"/>
              </w:rPr>
              <w:t>指标</w:t>
            </w:r>
          </w:p>
        </w:tc>
        <w:tc>
          <w:tcPr>
            <w:tcW w:w="8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三级指标　</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评（扣）分标准</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绩效指标描述</w:t>
            </w:r>
          </w:p>
        </w:tc>
        <w:tc>
          <w:tcPr>
            <w:tcW w:w="1456"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w:t>
            </w:r>
          </w:p>
        </w:tc>
        <w:tc>
          <w:tcPr>
            <w:tcW w:w="179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指标值确定依据</w:t>
            </w:r>
          </w:p>
        </w:tc>
      </w:tr>
      <w:tr>
        <w:tblPrEx>
          <w:tblCellMar>
            <w:top w:w="0" w:type="dxa"/>
            <w:left w:w="11" w:type="dxa"/>
            <w:bottom w:w="0" w:type="dxa"/>
            <w:right w:w="11" w:type="dxa"/>
          </w:tblCellMar>
        </w:tblPrEx>
        <w:trPr>
          <w:trHeight w:val="214"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256" w:type="dxa"/>
            <w:vMerge w:val="continue"/>
            <w:tcBorders>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464"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符号</w:t>
            </w:r>
          </w:p>
        </w:tc>
        <w:tc>
          <w:tcPr>
            <w:tcW w:w="497"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值</w:t>
            </w:r>
          </w:p>
        </w:tc>
        <w:tc>
          <w:tcPr>
            <w:tcW w:w="495"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单位</w:t>
            </w:r>
          </w:p>
        </w:tc>
        <w:tc>
          <w:tcPr>
            <w:tcW w:w="1796"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r>
      <w:tr>
        <w:tblPrEx>
          <w:tblCellMar>
            <w:top w:w="0" w:type="dxa"/>
            <w:left w:w="11" w:type="dxa"/>
            <w:bottom w:w="0" w:type="dxa"/>
            <w:right w:w="11" w:type="dxa"/>
          </w:tblCellMar>
        </w:tblPrEx>
        <w:trPr>
          <w:trHeight w:val="1402" w:hRule="atLeast"/>
          <w:jc w:val="center"/>
        </w:trPr>
        <w:tc>
          <w:tcPr>
            <w:tcW w:w="866"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产出</w:t>
            </w: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数量</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国有资产数据统计分析企业数量</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报表企业≥100家得满分，&lt;100家得零分。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组织向省国资委上报经济运行情况快报报表廊坊市国有企业数量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419"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覆盖率=100%得满分，每降低10%，扣权重分20%，扣完为止。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283"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补贴人数=538名得满分，每减少（增加）54名，减少权重10%，扣完为止。</w:t>
            </w:r>
          </w:p>
        </w:tc>
        <w:tc>
          <w:tcPr>
            <w:tcW w:w="1256" w:type="dxa"/>
            <w:tcBorders>
              <w:top w:val="nil"/>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考察国企职教幼教退休教师发放补贴人数情况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538</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名</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教育局、人社局国有企业职教幼教资格认定人员名单</w:t>
            </w:r>
          </w:p>
        </w:tc>
      </w:tr>
      <w:tr>
        <w:tblPrEx>
          <w:tblCellMar>
            <w:top w:w="0" w:type="dxa"/>
            <w:left w:w="11" w:type="dxa"/>
            <w:bottom w:w="0" w:type="dxa"/>
            <w:right w:w="11" w:type="dxa"/>
          </w:tblCellMar>
        </w:tblPrEx>
        <w:trPr>
          <w:trHeight w:val="847"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支持高新区公交场站项目数量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数量=1个得满分，大于或小于1个得零分。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财政支持公交场站项目数量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个</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预算批复文本</w:t>
            </w:r>
          </w:p>
        </w:tc>
      </w:tr>
      <w:tr>
        <w:tblPrEx>
          <w:tblCellMar>
            <w:top w:w="0" w:type="dxa"/>
            <w:left w:w="11" w:type="dxa"/>
            <w:bottom w:w="0" w:type="dxa"/>
            <w:right w:w="11" w:type="dxa"/>
          </w:tblCellMar>
        </w:tblPrEx>
        <w:trPr>
          <w:trHeight w:val="988"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国有资本经营预算企业数量/国资直接监管企业数量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835"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全部完成得满分，每减少16人扣10%的权重分，扣完为止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159</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人</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国有资产数据统计分析完成率</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报表完成率≥90%得满分，&lt;90%得零分</w:t>
            </w:r>
          </w:p>
        </w:tc>
        <w:tc>
          <w:tcPr>
            <w:tcW w:w="12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组织向省国资委上报经济运行情况快报报表完成率</w:t>
            </w:r>
          </w:p>
        </w:tc>
        <w:tc>
          <w:tcPr>
            <w:tcW w:w="464"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质量</w:t>
            </w:r>
          </w:p>
        </w:tc>
        <w:tc>
          <w:tcPr>
            <w:tcW w:w="850"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64"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5"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r>
      <w:tr>
        <w:tblPrEx>
          <w:tblCellMar>
            <w:top w:w="0" w:type="dxa"/>
            <w:left w:w="11" w:type="dxa"/>
            <w:bottom w:w="0" w:type="dxa"/>
            <w:right w:w="11" w:type="dxa"/>
          </w:tblCellMar>
        </w:tblPrEx>
        <w:trPr>
          <w:trHeight w:val="77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考核企业领导人员称职率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称职率≥90%得满分，&lt;90%得零分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考核国有企业领导人员称职率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考核名单</w:t>
            </w:r>
          </w:p>
        </w:tc>
      </w:tr>
      <w:tr>
        <w:tblPrEx>
          <w:tblCellMar>
            <w:top w:w="0" w:type="dxa"/>
            <w:left w:w="11" w:type="dxa"/>
            <w:bottom w:w="0" w:type="dxa"/>
            <w:right w:w="11" w:type="dxa"/>
          </w:tblCellMar>
        </w:tblPrEx>
        <w:trPr>
          <w:trHeight w:val="108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应补尽补率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补贴率=100%得满分，每降低10%，扣权重分20%，扣完为止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考察国企职教幼教退休教师补贴发放情况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国有企业职教幼教退休教师补贴审批表</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完成率=100%得满分，低于100%得零分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国有资本经营预算表</w:t>
            </w:r>
          </w:p>
        </w:tc>
      </w:tr>
      <w:tr>
        <w:tblPrEx>
          <w:tblCellMar>
            <w:top w:w="0" w:type="dxa"/>
            <w:left w:w="11" w:type="dxa"/>
            <w:bottom w:w="0" w:type="dxa"/>
            <w:right w:w="11" w:type="dxa"/>
          </w:tblCellMar>
        </w:tblPrEx>
        <w:trPr>
          <w:trHeight w:val="1521"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慰问离退休干部到位率</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到位率≥90%得满分，&lt;90%得零分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慰问离退休干部人数/国资委离退休干部人数</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慰问名单</w:t>
            </w:r>
          </w:p>
        </w:tc>
      </w:tr>
      <w:tr>
        <w:tblPrEx>
          <w:tblCellMar>
            <w:top w:w="0" w:type="dxa"/>
            <w:left w:w="11" w:type="dxa"/>
            <w:bottom w:w="0" w:type="dxa"/>
            <w:right w:w="11" w:type="dxa"/>
          </w:tblCellMar>
        </w:tblPrEx>
        <w:trPr>
          <w:trHeight w:val="146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时效</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每月按时上报满分，不报零分</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报表时间</w:t>
            </w:r>
          </w:p>
        </w:tc>
      </w:tr>
      <w:tr>
        <w:tblPrEx>
          <w:tblCellMar>
            <w:top w:w="0" w:type="dxa"/>
            <w:left w:w="11" w:type="dxa"/>
            <w:bottom w:w="0" w:type="dxa"/>
            <w:right w:w="11" w:type="dxa"/>
          </w:tblCellMar>
        </w:tblPrEx>
        <w:trPr>
          <w:trHeight w:val="801"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 xml:space="preserve">2023年12月底前得满分。 </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32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拨付补贴及时率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及时率=100%得满分，&lt;100%得零分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考察国企职教幼教退休教师补贴发放时间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14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2023年11月底前拨付得满分，以后得零分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6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2023年12月底前完成得满分.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国有企业上缴国有收益时间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预算表</w:t>
            </w:r>
          </w:p>
        </w:tc>
      </w:tr>
      <w:tr>
        <w:tblPrEx>
          <w:tblCellMar>
            <w:top w:w="0" w:type="dxa"/>
            <w:left w:w="11" w:type="dxa"/>
            <w:bottom w:w="0" w:type="dxa"/>
            <w:right w:w="11" w:type="dxa"/>
          </w:tblCellMar>
        </w:tblPrEx>
        <w:trPr>
          <w:trHeight w:val="128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2023年春节、重阳节慰问得满分，两节漏问得零分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2023年春节、老人节。</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工作计划</w:t>
            </w:r>
          </w:p>
        </w:tc>
      </w:tr>
      <w:tr>
        <w:tblPrEx>
          <w:tblCellMar>
            <w:top w:w="0" w:type="dxa"/>
            <w:left w:w="11" w:type="dxa"/>
            <w:bottom w:w="0" w:type="dxa"/>
            <w:right w:w="11" w:type="dxa"/>
          </w:tblCellMar>
        </w:tblPrEx>
        <w:trPr>
          <w:trHeight w:val="1492"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成本</w:t>
            </w:r>
          </w:p>
        </w:tc>
        <w:tc>
          <w:tcPr>
            <w:tcW w:w="8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国企职教幼教退休教师发放补贴2023年总成本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等于2180万元得满分，每减少218万扣权重分10%，扣完为止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国企职教幼教退休教师发放补贴2023年总成本</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2180</w:t>
            </w:r>
            <w:r>
              <w:rPr>
                <w:rFonts w:ascii="Times New Roman" w:hAnsi="Times New Roman" w:eastAsia="仿宋_GB2312" w:cs="Times New Roman"/>
                <w:color w:val="000000"/>
                <w:kern w:val="0"/>
                <w:sz w:val="18"/>
                <w:szCs w:val="18"/>
              </w:rPr>
              <w:t xml:space="preserve"> </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《河北省国资委、教育厅、财政厅和人社厅关于妥善解决国有企业职教幼教退休教师待遇问题的通知》（冀国资[2011]10号）</w:t>
            </w:r>
          </w:p>
        </w:tc>
      </w:tr>
      <w:tr>
        <w:tblPrEx>
          <w:tblCellMar>
            <w:top w:w="0" w:type="dxa"/>
            <w:left w:w="11" w:type="dxa"/>
            <w:bottom w:w="0" w:type="dxa"/>
            <w:right w:w="11" w:type="dxa"/>
          </w:tblCellMar>
        </w:tblPrEx>
        <w:trPr>
          <w:trHeight w:val="1260"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总成本&gt;或&lt;700万元零分，=700万元满分。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700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根据预算文本</w:t>
            </w:r>
          </w:p>
        </w:tc>
      </w:tr>
      <w:tr>
        <w:tblPrEx>
          <w:tblCellMar>
            <w:top w:w="0" w:type="dxa"/>
            <w:left w:w="11" w:type="dxa"/>
            <w:bottom w:w="0" w:type="dxa"/>
            <w:right w:w="11" w:type="dxa"/>
          </w:tblCellMar>
        </w:tblPrEx>
        <w:trPr>
          <w:trHeight w:val="1424" w:hRule="exact"/>
          <w:jc w:val="center"/>
        </w:trPr>
        <w:tc>
          <w:tcPr>
            <w:tcW w:w="866" w:type="dxa"/>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退休人员高于0.05万元    离休人员高于0.06万元得零分，反之得满分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退休0.05    离休0.06</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慰问工作方案</w:t>
            </w:r>
          </w:p>
        </w:tc>
      </w:tr>
      <w:tr>
        <w:tblPrEx>
          <w:tblCellMar>
            <w:top w:w="0" w:type="dxa"/>
            <w:left w:w="11" w:type="dxa"/>
            <w:bottom w:w="0" w:type="dxa"/>
            <w:right w:w="11" w:type="dxa"/>
          </w:tblCellMar>
        </w:tblPrEx>
        <w:trPr>
          <w:trHeight w:val="1392" w:hRule="exact"/>
          <w:jc w:val="center"/>
        </w:trPr>
        <w:tc>
          <w:tcPr>
            <w:tcW w:w="866" w:type="dxa"/>
            <w:vMerge w:val="restart"/>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部门效果</w:t>
            </w: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经济效益</w:t>
            </w: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提供国有企业经济运行数据</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能够提供数据得满分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每年向省国资委、市人大、市统计局报送廊坊市国有企业年度决算报表</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提供数据</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监管企业决算汇总报表</w:t>
            </w:r>
          </w:p>
        </w:tc>
      </w:tr>
      <w:tr>
        <w:tblPrEx>
          <w:tblCellMar>
            <w:top w:w="0" w:type="dxa"/>
            <w:left w:w="11" w:type="dxa"/>
            <w:bottom w:w="0" w:type="dxa"/>
            <w:right w:w="11" w:type="dxa"/>
          </w:tblCellMar>
        </w:tblPrEx>
        <w:trPr>
          <w:trHeight w:val="130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上缴率=100%得满分，&lt;100%得零分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2022年监管企业年度审计报告</w:t>
            </w:r>
          </w:p>
        </w:tc>
      </w:tr>
      <w:tr>
        <w:tblPrEx>
          <w:tblCellMar>
            <w:top w:w="0" w:type="dxa"/>
            <w:left w:w="11" w:type="dxa"/>
            <w:bottom w:w="0" w:type="dxa"/>
            <w:right w:w="11" w:type="dxa"/>
          </w:tblCellMar>
        </w:tblPrEx>
        <w:trPr>
          <w:trHeight w:val="1122"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社会效益</w:t>
            </w: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办结率≥90%得满分，&lt;90%得零分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信访部门办案率/上访案件</w:t>
            </w:r>
          </w:p>
        </w:tc>
      </w:tr>
      <w:tr>
        <w:tblPrEx>
          <w:tblCellMar>
            <w:top w:w="0" w:type="dxa"/>
            <w:left w:w="11" w:type="dxa"/>
            <w:bottom w:w="0" w:type="dxa"/>
            <w:right w:w="11" w:type="dxa"/>
          </w:tblCellMar>
        </w:tblPrEx>
        <w:trPr>
          <w:trHeight w:val="1404"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发生重大安全生产死亡事故率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事故率=0得满分，每发生一起减权重分50%。</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监管企业发生重大安全生产死亡事故率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按照实际发生数</w:t>
            </w:r>
          </w:p>
        </w:tc>
      </w:tr>
      <w:tr>
        <w:tblPrEx>
          <w:tblCellMar>
            <w:top w:w="0" w:type="dxa"/>
            <w:left w:w="11" w:type="dxa"/>
            <w:bottom w:w="0" w:type="dxa"/>
            <w:right w:w="11" w:type="dxa"/>
          </w:tblCellMar>
        </w:tblPrEx>
        <w:trPr>
          <w:trHeight w:val="114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满意度</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监管企业工作满意度</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满意度≥90%得满分，&lt;90%得零分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监管企业工作满意度</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pPr>
      <w:r>
        <w:rPr>
          <w:rFonts w:ascii="方正仿宋_GBK" w:hAnsi="方正仿宋_GBK" w:eastAsia="方正仿宋_GBK" w:cs="方正仿宋_GBK"/>
          <w:b/>
          <w:color w:val="000000"/>
          <w:sz w:val="28"/>
        </w:rPr>
        <w:t>1、国资监管运行经费绩效目标表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1.目标内容1通过完成此项目，能够满足国资委机关日常运转，达到效率最大化的目标。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项目服务房屋面积</w:t>
            </w:r>
          </w:p>
        </w:tc>
        <w:tc>
          <w:tcPr>
            <w:tcW w:w="2835" w:type="dxa"/>
            <w:vAlign w:val="center"/>
          </w:tcPr>
          <w:p>
            <w:pPr>
              <w:pStyle w:val="17"/>
            </w:pPr>
            <w:r>
              <w:t>项目服务房屋面积</w:t>
            </w:r>
          </w:p>
        </w:tc>
        <w:tc>
          <w:tcPr>
            <w:tcW w:w="2551" w:type="dxa"/>
            <w:vAlign w:val="center"/>
          </w:tcPr>
          <w:p>
            <w:pPr>
              <w:pStyle w:val="17"/>
            </w:pPr>
            <w:r>
              <w:t>≥6916.89平方米</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物业服务验收率</w:t>
            </w:r>
          </w:p>
        </w:tc>
        <w:tc>
          <w:tcPr>
            <w:tcW w:w="2835" w:type="dxa"/>
            <w:vAlign w:val="center"/>
          </w:tcPr>
          <w:p>
            <w:pPr>
              <w:pStyle w:val="17"/>
            </w:pPr>
            <w:r>
              <w:t>物业服务验收率</w:t>
            </w:r>
          </w:p>
        </w:tc>
        <w:tc>
          <w:tcPr>
            <w:tcW w:w="2551" w:type="dxa"/>
            <w:vAlign w:val="center"/>
          </w:tcPr>
          <w:p>
            <w:pPr>
              <w:pStyle w:val="17"/>
            </w:pPr>
            <w:r>
              <w:t>100%</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拨款及时率</w:t>
            </w:r>
          </w:p>
        </w:tc>
        <w:tc>
          <w:tcPr>
            <w:tcW w:w="2835" w:type="dxa"/>
            <w:vAlign w:val="center"/>
          </w:tcPr>
          <w:p>
            <w:pPr>
              <w:pStyle w:val="17"/>
            </w:pPr>
            <w:r>
              <w:t>拨款及时率</w:t>
            </w:r>
          </w:p>
        </w:tc>
        <w:tc>
          <w:tcPr>
            <w:tcW w:w="2551" w:type="dxa"/>
            <w:vAlign w:val="center"/>
          </w:tcPr>
          <w:p>
            <w:pPr>
              <w:pStyle w:val="17"/>
            </w:pPr>
            <w:r>
              <w:t>100%</w:t>
            </w:r>
          </w:p>
        </w:tc>
        <w:tc>
          <w:tcPr>
            <w:tcW w:w="2268" w:type="dxa"/>
            <w:vAlign w:val="center"/>
          </w:tcPr>
          <w:p>
            <w:pPr>
              <w:pStyle w:val="17"/>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此项目总成本</w:t>
            </w:r>
          </w:p>
        </w:tc>
        <w:tc>
          <w:tcPr>
            <w:tcW w:w="2835" w:type="dxa"/>
            <w:vAlign w:val="center"/>
          </w:tcPr>
          <w:p>
            <w:pPr>
              <w:pStyle w:val="17"/>
            </w:pPr>
            <w:r>
              <w:t>此项目总成本</w:t>
            </w:r>
          </w:p>
        </w:tc>
        <w:tc>
          <w:tcPr>
            <w:tcW w:w="2551" w:type="dxa"/>
            <w:vAlign w:val="center"/>
          </w:tcPr>
          <w:p>
            <w:pPr>
              <w:pStyle w:val="17"/>
            </w:pPr>
            <w:r>
              <w:t>80万元</w:t>
            </w:r>
          </w:p>
        </w:tc>
        <w:tc>
          <w:tcPr>
            <w:tcW w:w="2268" w:type="dxa"/>
            <w:vAlign w:val="center"/>
          </w:tcPr>
          <w:p>
            <w:pPr>
              <w:pStyle w:val="17"/>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老干部慰问人数</w:t>
            </w:r>
          </w:p>
        </w:tc>
        <w:tc>
          <w:tcPr>
            <w:tcW w:w="2835" w:type="dxa"/>
            <w:vAlign w:val="center"/>
          </w:tcPr>
          <w:p>
            <w:pPr>
              <w:pStyle w:val="17"/>
            </w:pPr>
            <w:r>
              <w:t>老干部慰问人数</w:t>
            </w:r>
          </w:p>
        </w:tc>
        <w:tc>
          <w:tcPr>
            <w:tcW w:w="2551" w:type="dxa"/>
            <w:vAlign w:val="center"/>
          </w:tcPr>
          <w:p>
            <w:pPr>
              <w:pStyle w:val="17"/>
            </w:pPr>
            <w:r>
              <w:t>159人</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慰问完成率</w:t>
            </w:r>
          </w:p>
        </w:tc>
        <w:tc>
          <w:tcPr>
            <w:tcW w:w="2835" w:type="dxa"/>
            <w:vAlign w:val="center"/>
          </w:tcPr>
          <w:p>
            <w:pPr>
              <w:pStyle w:val="17"/>
            </w:pPr>
            <w:r>
              <w:t>慰问完成率</w:t>
            </w:r>
          </w:p>
        </w:tc>
        <w:tc>
          <w:tcPr>
            <w:tcW w:w="2551" w:type="dxa"/>
            <w:vAlign w:val="center"/>
          </w:tcPr>
          <w:p>
            <w:pPr>
              <w:pStyle w:val="17"/>
            </w:pPr>
            <w:r>
              <w:t>100%</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两节每人平均慰问标准</w:t>
            </w:r>
          </w:p>
        </w:tc>
        <w:tc>
          <w:tcPr>
            <w:tcW w:w="2835" w:type="dxa"/>
            <w:vAlign w:val="center"/>
          </w:tcPr>
          <w:p>
            <w:pPr>
              <w:pStyle w:val="17"/>
            </w:pPr>
            <w:r>
              <w:t>两节每人平均慰问标准</w:t>
            </w:r>
          </w:p>
        </w:tc>
        <w:tc>
          <w:tcPr>
            <w:tcW w:w="2551" w:type="dxa"/>
            <w:vAlign w:val="center"/>
          </w:tcPr>
          <w:p>
            <w:pPr>
              <w:pStyle w:val="17"/>
            </w:pPr>
            <w:r>
              <w:t>退休500元、离休600元</w:t>
            </w:r>
          </w:p>
        </w:tc>
        <w:tc>
          <w:tcPr>
            <w:tcW w:w="2268" w:type="dxa"/>
            <w:vAlign w:val="center"/>
          </w:tcPr>
          <w:p>
            <w:pPr>
              <w:pStyle w:val="17"/>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满足国资委机关日常运转</w:t>
            </w:r>
          </w:p>
        </w:tc>
        <w:tc>
          <w:tcPr>
            <w:tcW w:w="2835" w:type="dxa"/>
            <w:vAlign w:val="center"/>
          </w:tcPr>
          <w:p>
            <w:pPr>
              <w:pStyle w:val="17"/>
            </w:pPr>
            <w:r>
              <w:t>满足国资委机关日常运转</w:t>
            </w:r>
          </w:p>
        </w:tc>
        <w:tc>
          <w:tcPr>
            <w:tcW w:w="2551" w:type="dxa"/>
            <w:vAlign w:val="center"/>
          </w:tcPr>
          <w:p>
            <w:pPr>
              <w:pStyle w:val="17"/>
            </w:pPr>
            <w:r>
              <w:t>提高</w:t>
            </w:r>
          </w:p>
        </w:tc>
        <w:tc>
          <w:tcPr>
            <w:tcW w:w="2268" w:type="dxa"/>
            <w:vAlign w:val="center"/>
          </w:tcPr>
          <w:p>
            <w:pPr>
              <w:pStyle w:val="17"/>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用户满意度</w:t>
            </w:r>
          </w:p>
        </w:tc>
        <w:tc>
          <w:tcPr>
            <w:tcW w:w="2835" w:type="dxa"/>
            <w:vAlign w:val="center"/>
          </w:tcPr>
          <w:p>
            <w:pPr>
              <w:pStyle w:val="17"/>
            </w:pPr>
            <w:r>
              <w:t>单位职工满意度</w:t>
            </w:r>
          </w:p>
        </w:tc>
        <w:tc>
          <w:tcPr>
            <w:tcW w:w="2551" w:type="dxa"/>
            <w:vAlign w:val="center"/>
          </w:tcPr>
          <w:p>
            <w:pPr>
              <w:pStyle w:val="17"/>
            </w:pPr>
            <w:r>
              <w:t>≥95%</w:t>
            </w:r>
          </w:p>
        </w:tc>
        <w:tc>
          <w:tcPr>
            <w:tcW w:w="2268" w:type="dxa"/>
            <w:vAlign w:val="center"/>
          </w:tcPr>
          <w:p>
            <w:pPr>
              <w:pStyle w:val="17"/>
            </w:pPr>
            <w:r>
              <w:t>口头调查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2、国企干部管理培训工作经费绩效目标表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1.通过增强自身实力，充分发挥培训职能，按时完成培训任务，达到国有企业管理人员培训中心持续开展培训业务，稳步发展的目标。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保证国有企业及机关相关培训业务</w:t>
            </w:r>
          </w:p>
        </w:tc>
        <w:tc>
          <w:tcPr>
            <w:tcW w:w="2835" w:type="dxa"/>
            <w:vAlign w:val="center"/>
          </w:tcPr>
          <w:p>
            <w:pPr>
              <w:pStyle w:val="17"/>
            </w:pPr>
            <w:r>
              <w:t>每年至少保证2次以上相关业务培训</w:t>
            </w:r>
          </w:p>
        </w:tc>
        <w:tc>
          <w:tcPr>
            <w:tcW w:w="2551" w:type="dxa"/>
            <w:vAlign w:val="center"/>
          </w:tcPr>
          <w:p>
            <w:pPr>
              <w:pStyle w:val="17"/>
            </w:pPr>
            <w:r>
              <w:t>≥2次</w:t>
            </w:r>
          </w:p>
        </w:tc>
        <w:tc>
          <w:tcPr>
            <w:tcW w:w="2268" w:type="dxa"/>
            <w:vAlign w:val="center"/>
          </w:tcPr>
          <w:p>
            <w:pPr>
              <w:pStyle w:val="17"/>
            </w:pPr>
            <w:r>
              <w:t>依据廊坊市国有企业管理人员培训中心接受培训次数确定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培训人员合格率</w:t>
            </w:r>
          </w:p>
        </w:tc>
        <w:tc>
          <w:tcPr>
            <w:tcW w:w="2835" w:type="dxa"/>
            <w:vAlign w:val="center"/>
          </w:tcPr>
          <w:p>
            <w:pPr>
              <w:pStyle w:val="17"/>
            </w:pPr>
            <w:r>
              <w:t>反映培训人员学习质量情况</w:t>
            </w:r>
          </w:p>
        </w:tc>
        <w:tc>
          <w:tcPr>
            <w:tcW w:w="2551" w:type="dxa"/>
            <w:vAlign w:val="center"/>
          </w:tcPr>
          <w:p>
            <w:pPr>
              <w:pStyle w:val="17"/>
            </w:pPr>
            <w:r>
              <w:t>≥95%</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支付及时性</w:t>
            </w:r>
          </w:p>
        </w:tc>
        <w:tc>
          <w:tcPr>
            <w:tcW w:w="2835" w:type="dxa"/>
            <w:vAlign w:val="center"/>
          </w:tcPr>
          <w:p>
            <w:pPr>
              <w:pStyle w:val="17"/>
            </w:pPr>
            <w:r>
              <w:t>按照国有企业管理人员培训中心业务开展期间费用支出情况及时支付</w:t>
            </w:r>
          </w:p>
        </w:tc>
        <w:tc>
          <w:tcPr>
            <w:tcW w:w="2551" w:type="dxa"/>
            <w:vAlign w:val="center"/>
          </w:tcPr>
          <w:p>
            <w:pPr>
              <w:pStyle w:val="17"/>
            </w:pPr>
            <w:r>
              <w:t>100%</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成本吻合度</w:t>
            </w:r>
          </w:p>
        </w:tc>
        <w:tc>
          <w:tcPr>
            <w:tcW w:w="2835" w:type="dxa"/>
            <w:vAlign w:val="center"/>
          </w:tcPr>
          <w:p>
            <w:pPr>
              <w:pStyle w:val="17"/>
            </w:pPr>
            <w:r>
              <w:t>反映培训期间费用成本的支出数与预算数一致</w:t>
            </w:r>
          </w:p>
        </w:tc>
        <w:tc>
          <w:tcPr>
            <w:tcW w:w="2551" w:type="dxa"/>
            <w:vAlign w:val="center"/>
          </w:tcPr>
          <w:p>
            <w:pPr>
              <w:pStyle w:val="17"/>
            </w:pPr>
            <w:r>
              <w:t>170万元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保证培训业务的持续开展</w:t>
            </w:r>
          </w:p>
        </w:tc>
        <w:tc>
          <w:tcPr>
            <w:tcW w:w="2835" w:type="dxa"/>
            <w:vAlign w:val="center"/>
          </w:tcPr>
          <w:p>
            <w:pPr>
              <w:pStyle w:val="17"/>
            </w:pPr>
            <w:r>
              <w:t>保证培训中心业务每年顺利举行并持续开展</w:t>
            </w:r>
          </w:p>
        </w:tc>
        <w:tc>
          <w:tcPr>
            <w:tcW w:w="2551" w:type="dxa"/>
            <w:vAlign w:val="center"/>
          </w:tcPr>
          <w:p>
            <w:pPr>
              <w:pStyle w:val="17"/>
            </w:pPr>
            <w:r>
              <w:t>≥2次</w:t>
            </w:r>
          </w:p>
        </w:tc>
        <w:tc>
          <w:tcPr>
            <w:tcW w:w="2268" w:type="dxa"/>
            <w:vAlign w:val="center"/>
          </w:tcPr>
          <w:p>
            <w:pPr>
              <w:pStyle w:val="17"/>
            </w:pPr>
            <w:r>
              <w:t>根据经营范围及职能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接受国有企业管理人员培训中心的培训人员的满意程度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3、国企职教幼教退休教师专项补贴资金绩效目标表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1.目标内容1通过项目的开展，按照国家、省有关政策要求，落实国有企业职教幼教退休教师待遇，维护国企职教幼教退休教师权益和社会和谐稳定。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国企职教幼教退休教师发放补贴人数</w:t>
            </w:r>
          </w:p>
        </w:tc>
        <w:tc>
          <w:tcPr>
            <w:tcW w:w="2835" w:type="dxa"/>
            <w:vAlign w:val="center"/>
          </w:tcPr>
          <w:p>
            <w:pPr>
              <w:pStyle w:val="17"/>
            </w:pPr>
            <w:r>
              <w:t>考察国企职教幼教退休教师发放补贴人数情况</w:t>
            </w:r>
          </w:p>
        </w:tc>
        <w:tc>
          <w:tcPr>
            <w:tcW w:w="2551" w:type="dxa"/>
            <w:vAlign w:val="center"/>
          </w:tcPr>
          <w:p>
            <w:pPr>
              <w:pStyle w:val="17"/>
            </w:pPr>
            <w:r>
              <w:t>538名</w:t>
            </w:r>
          </w:p>
        </w:tc>
        <w:tc>
          <w:tcPr>
            <w:tcW w:w="2268" w:type="dxa"/>
            <w:vAlign w:val="center"/>
          </w:tcPr>
          <w:p>
            <w:pPr>
              <w:pStyle w:val="17"/>
            </w:pPr>
            <w:r>
              <w:t>教育局、人社局国有企业职教幼教资格认定人员名单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考察国企职教幼教退休教师补贴发放情况</w:t>
            </w:r>
          </w:p>
        </w:tc>
        <w:tc>
          <w:tcPr>
            <w:tcW w:w="2551" w:type="dxa"/>
            <w:vAlign w:val="center"/>
          </w:tcPr>
          <w:p>
            <w:pPr>
              <w:pStyle w:val="17"/>
            </w:pPr>
            <w:r>
              <w:t>100%</w:t>
            </w:r>
          </w:p>
        </w:tc>
        <w:tc>
          <w:tcPr>
            <w:tcW w:w="2268" w:type="dxa"/>
            <w:vAlign w:val="center"/>
          </w:tcPr>
          <w:p>
            <w:pPr>
              <w:pStyle w:val="17"/>
            </w:pPr>
            <w:r>
              <w:t>国有企业职教幼教退休教师补贴审批表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发放补助及时率</w:t>
            </w:r>
          </w:p>
        </w:tc>
        <w:tc>
          <w:tcPr>
            <w:tcW w:w="2835" w:type="dxa"/>
            <w:vAlign w:val="center"/>
          </w:tcPr>
          <w:p>
            <w:pPr>
              <w:pStyle w:val="17"/>
            </w:pPr>
            <w:r>
              <w:t>考察国企职教幼教退休教师补贴发放时间</w:t>
            </w:r>
          </w:p>
        </w:tc>
        <w:tc>
          <w:tcPr>
            <w:tcW w:w="2551" w:type="dxa"/>
            <w:vAlign w:val="center"/>
          </w:tcPr>
          <w:p>
            <w:pPr>
              <w:pStyle w:val="17"/>
            </w:pPr>
            <w:r>
              <w:t>100%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考察与人社部门核定的当地同类人员退休金比照标准差异值</w:t>
            </w:r>
          </w:p>
        </w:tc>
        <w:tc>
          <w:tcPr>
            <w:tcW w:w="2551" w:type="dxa"/>
            <w:vAlign w:val="center"/>
          </w:tcPr>
          <w:p>
            <w:pPr>
              <w:pStyle w:val="17"/>
            </w:pPr>
            <w:r>
              <w:t>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考察国企职教幼教退休教师专项补贴资金相关档案管理制度及档案文件归档情况</w:t>
            </w:r>
          </w:p>
        </w:tc>
        <w:tc>
          <w:tcPr>
            <w:tcW w:w="2551" w:type="dxa"/>
            <w:vAlign w:val="center"/>
          </w:tcPr>
          <w:p>
            <w:pPr>
              <w:pStyle w:val="17"/>
            </w:pPr>
            <w:r>
              <w:t>健全</w:t>
            </w:r>
          </w:p>
        </w:tc>
        <w:tc>
          <w:tcPr>
            <w:tcW w:w="2268" w:type="dxa"/>
            <w:vAlign w:val="center"/>
          </w:tcPr>
          <w:p>
            <w:pPr>
              <w:pStyle w:val="17"/>
            </w:pPr>
            <w:r>
              <w:t>档案管理制度、相关档案文件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接受补贴资金国企职教幼教退休教师满意度</w:t>
            </w:r>
          </w:p>
        </w:tc>
        <w:tc>
          <w:tcPr>
            <w:tcW w:w="2551" w:type="dxa"/>
            <w:vAlign w:val="center"/>
          </w:tcPr>
          <w:p>
            <w:pPr>
              <w:pStyle w:val="17"/>
            </w:pPr>
            <w:r>
              <w:t>≥90%</w:t>
            </w:r>
          </w:p>
        </w:tc>
        <w:tc>
          <w:tcPr>
            <w:tcW w:w="2268" w:type="dxa"/>
            <w:vAlign w:val="center"/>
          </w:tcPr>
          <w:p>
            <w:pPr>
              <w:pStyle w:val="17"/>
            </w:pPr>
            <w:r>
              <w:t>结合有责投诉情况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4、廊坊高新技术产业开发区公交场站项目资金绩效目标表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满足城南居民出行需求，达到低碳环保、节能减排的环保要求，扩大公交网线辐射区域，全力推进安次区公交全覆盖工作，进一步保障廊坊城乡公交一体化建设工作的实现，为实现廊坊市2020年政府工作报告中提出的“用市场化手段改善公交运营情况，实现公交全覆盖”的要求奠定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项目占地面积</w:t>
            </w:r>
          </w:p>
        </w:tc>
        <w:tc>
          <w:tcPr>
            <w:tcW w:w="2835" w:type="dxa"/>
            <w:vAlign w:val="center"/>
          </w:tcPr>
          <w:p>
            <w:pPr>
              <w:pStyle w:val="17"/>
            </w:pPr>
            <w:r>
              <w:t>项目总用地面积</w:t>
            </w:r>
          </w:p>
        </w:tc>
        <w:tc>
          <w:tcPr>
            <w:tcW w:w="2551" w:type="dxa"/>
            <w:vAlign w:val="center"/>
          </w:tcPr>
          <w:p>
            <w:pPr>
              <w:pStyle w:val="17"/>
            </w:pPr>
            <w:r>
              <w:t>20000平方米</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项目施工验收通过率</w:t>
            </w:r>
          </w:p>
        </w:tc>
        <w:tc>
          <w:tcPr>
            <w:tcW w:w="2835" w:type="dxa"/>
            <w:vAlign w:val="center"/>
          </w:tcPr>
          <w:p>
            <w:pPr>
              <w:pStyle w:val="17"/>
            </w:pPr>
            <w:r>
              <w:t>公交场站验线合格情况</w:t>
            </w:r>
          </w:p>
        </w:tc>
        <w:tc>
          <w:tcPr>
            <w:tcW w:w="2551" w:type="dxa"/>
            <w:vAlign w:val="center"/>
          </w:tcPr>
          <w:p>
            <w:pPr>
              <w:pStyle w:val="17"/>
            </w:pPr>
            <w:r>
              <w:t>100%</w:t>
            </w:r>
          </w:p>
        </w:tc>
        <w:tc>
          <w:tcPr>
            <w:tcW w:w="2268" w:type="dxa"/>
            <w:vAlign w:val="center"/>
          </w:tcPr>
          <w:p>
            <w:pPr>
              <w:pStyle w:val="17"/>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项目开工时间</w:t>
            </w:r>
          </w:p>
        </w:tc>
        <w:tc>
          <w:tcPr>
            <w:tcW w:w="2835" w:type="dxa"/>
            <w:vAlign w:val="center"/>
          </w:tcPr>
          <w:p>
            <w:pPr>
              <w:pStyle w:val="17"/>
            </w:pPr>
            <w:r>
              <w:t>项目开工时间</w:t>
            </w:r>
          </w:p>
        </w:tc>
        <w:tc>
          <w:tcPr>
            <w:tcW w:w="2551" w:type="dxa"/>
            <w:vAlign w:val="center"/>
          </w:tcPr>
          <w:p>
            <w:pPr>
              <w:pStyle w:val="17"/>
            </w:pPr>
            <w:r>
              <w:t>2023年12月31日</w:t>
            </w:r>
          </w:p>
        </w:tc>
        <w:tc>
          <w:tcPr>
            <w:tcW w:w="2268" w:type="dxa"/>
            <w:vAlign w:val="center"/>
          </w:tcPr>
          <w:p>
            <w:pPr>
              <w:pStyle w:val="17"/>
            </w:pPr>
            <w:r>
              <w:t>开工相关资料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2023年度项目所需资金</w:t>
            </w:r>
          </w:p>
        </w:tc>
        <w:tc>
          <w:tcPr>
            <w:tcW w:w="2551" w:type="dxa"/>
            <w:vAlign w:val="center"/>
          </w:tcPr>
          <w:p>
            <w:pPr>
              <w:pStyle w:val="17"/>
            </w:pPr>
            <w:r>
              <w:t>≤700万元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运营高新区公交线路</w:t>
            </w:r>
          </w:p>
        </w:tc>
        <w:tc>
          <w:tcPr>
            <w:tcW w:w="2835" w:type="dxa"/>
            <w:vAlign w:val="center"/>
          </w:tcPr>
          <w:p>
            <w:pPr>
              <w:pStyle w:val="17"/>
            </w:pPr>
            <w:r>
              <w:t>运营高新区线路，推进安次区公交全覆盖工作</w:t>
            </w:r>
          </w:p>
        </w:tc>
        <w:tc>
          <w:tcPr>
            <w:tcW w:w="2551" w:type="dxa"/>
            <w:vAlign w:val="center"/>
          </w:tcPr>
          <w:p>
            <w:pPr>
              <w:pStyle w:val="17"/>
            </w:pPr>
            <w:r>
              <w:t>5条</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乘客满意度</w:t>
            </w:r>
          </w:p>
        </w:tc>
        <w:tc>
          <w:tcPr>
            <w:tcW w:w="2835" w:type="dxa"/>
            <w:vAlign w:val="center"/>
          </w:tcPr>
          <w:p>
            <w:pPr>
              <w:pStyle w:val="17"/>
            </w:pPr>
            <w:r>
              <w:t>公交乘客满意度</w:t>
            </w:r>
          </w:p>
        </w:tc>
        <w:tc>
          <w:tcPr>
            <w:tcW w:w="2551" w:type="dxa"/>
            <w:vAlign w:val="center"/>
          </w:tcPr>
          <w:p>
            <w:pPr>
              <w:pStyle w:val="17"/>
            </w:pPr>
            <w:r>
              <w:t>≥95%</w:t>
            </w:r>
          </w:p>
        </w:tc>
        <w:tc>
          <w:tcPr>
            <w:tcW w:w="2268" w:type="dxa"/>
            <w:vAlign w:val="center"/>
          </w:tcPr>
          <w:p>
            <w:pPr>
              <w:pStyle w:val="17"/>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5、廊坊公交合资拓展汽车后市场项目资金绩效目标表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深入落实国企改革相关要求，通过本项目培育廊坊汽配产业新动能，赋能产业链上下游，助力廊坊打造全国现代商贸物流重要基地，同时可以优化企业业务结构，增加企业盈利模式，促进公交事业可持续发展，更好的满足人民群众出行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投入注册资本金笔数</w:t>
            </w:r>
          </w:p>
        </w:tc>
        <w:tc>
          <w:tcPr>
            <w:tcW w:w="2835" w:type="dxa"/>
            <w:vAlign w:val="center"/>
          </w:tcPr>
          <w:p>
            <w:pPr>
              <w:pStyle w:val="17"/>
            </w:pPr>
            <w:r>
              <w:t>成立合资公司本年度投入注册资本金笔数</w:t>
            </w:r>
          </w:p>
        </w:tc>
        <w:tc>
          <w:tcPr>
            <w:tcW w:w="2551" w:type="dxa"/>
            <w:vAlign w:val="center"/>
          </w:tcPr>
          <w:p>
            <w:pPr>
              <w:pStyle w:val="17"/>
            </w:pPr>
            <w:r>
              <w:t>1笔</w:t>
            </w:r>
          </w:p>
        </w:tc>
        <w:tc>
          <w:tcPr>
            <w:tcW w:w="2268" w:type="dxa"/>
            <w:vAlign w:val="center"/>
          </w:tcPr>
          <w:p>
            <w:pPr>
              <w:pStyle w:val="17"/>
            </w:pPr>
            <w:r>
              <w:t>资金拨付记录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出资完成率</w:t>
            </w:r>
          </w:p>
        </w:tc>
        <w:tc>
          <w:tcPr>
            <w:tcW w:w="2835" w:type="dxa"/>
            <w:vAlign w:val="center"/>
          </w:tcPr>
          <w:p>
            <w:pPr>
              <w:pStyle w:val="17"/>
            </w:pPr>
            <w:r>
              <w:t>完成合资公司出资</w:t>
            </w:r>
          </w:p>
        </w:tc>
        <w:tc>
          <w:tcPr>
            <w:tcW w:w="2551" w:type="dxa"/>
            <w:vAlign w:val="center"/>
          </w:tcPr>
          <w:p>
            <w:pPr>
              <w:pStyle w:val="17"/>
            </w:pPr>
            <w:r>
              <w:t>100%</w:t>
            </w:r>
          </w:p>
        </w:tc>
        <w:tc>
          <w:tcPr>
            <w:tcW w:w="2268" w:type="dxa"/>
            <w:vAlign w:val="center"/>
          </w:tcPr>
          <w:p>
            <w:pPr>
              <w:pStyle w:val="17"/>
            </w:pPr>
            <w:r>
              <w:t>出资证明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完成资本金注入时间</w:t>
            </w:r>
          </w:p>
        </w:tc>
        <w:tc>
          <w:tcPr>
            <w:tcW w:w="2835" w:type="dxa"/>
            <w:vAlign w:val="center"/>
          </w:tcPr>
          <w:p>
            <w:pPr>
              <w:pStyle w:val="17"/>
            </w:pPr>
            <w:r>
              <w:t>合资公司完成先期资本注入时间</w:t>
            </w:r>
          </w:p>
        </w:tc>
        <w:tc>
          <w:tcPr>
            <w:tcW w:w="2551" w:type="dxa"/>
            <w:vAlign w:val="center"/>
          </w:tcPr>
          <w:p>
            <w:pPr>
              <w:pStyle w:val="17"/>
            </w:pPr>
            <w:r>
              <w:t>2023年6月30日</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投入注册资本金</w:t>
            </w:r>
          </w:p>
        </w:tc>
        <w:tc>
          <w:tcPr>
            <w:tcW w:w="2835" w:type="dxa"/>
            <w:vAlign w:val="center"/>
          </w:tcPr>
          <w:p>
            <w:pPr>
              <w:pStyle w:val="17"/>
            </w:pPr>
            <w:r>
              <w:t>成立合资公司公交集团投入注册资本金</w:t>
            </w:r>
          </w:p>
        </w:tc>
        <w:tc>
          <w:tcPr>
            <w:tcW w:w="2551" w:type="dxa"/>
            <w:vAlign w:val="center"/>
          </w:tcPr>
          <w:p>
            <w:pPr>
              <w:pStyle w:val="17"/>
            </w:pPr>
            <w:r>
              <w:t>200万元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满足消费者对优质产品的需求</w:t>
            </w:r>
          </w:p>
        </w:tc>
        <w:tc>
          <w:tcPr>
            <w:tcW w:w="2835" w:type="dxa"/>
            <w:vAlign w:val="center"/>
          </w:tcPr>
          <w:p>
            <w:pPr>
              <w:pStyle w:val="17"/>
            </w:pPr>
            <w:r>
              <w:t>按消费者需求选用优质产品及时配送</w:t>
            </w:r>
          </w:p>
        </w:tc>
        <w:tc>
          <w:tcPr>
            <w:tcW w:w="2551" w:type="dxa"/>
            <w:vAlign w:val="center"/>
          </w:tcPr>
          <w:p>
            <w:pPr>
              <w:pStyle w:val="17"/>
            </w:pPr>
            <w:r>
              <w:t>≥90%</w:t>
            </w:r>
          </w:p>
        </w:tc>
        <w:tc>
          <w:tcPr>
            <w:tcW w:w="2268" w:type="dxa"/>
            <w:vAlign w:val="center"/>
          </w:tcPr>
          <w:p>
            <w:pPr>
              <w:pStyle w:val="17"/>
            </w:pPr>
            <w:r>
              <w:t>客户需求订单完成情况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合资公司实现公交集团方净利润</w:t>
            </w:r>
          </w:p>
        </w:tc>
        <w:tc>
          <w:tcPr>
            <w:tcW w:w="2835" w:type="dxa"/>
            <w:vAlign w:val="center"/>
          </w:tcPr>
          <w:p>
            <w:pPr>
              <w:pStyle w:val="17"/>
            </w:pPr>
            <w:r>
              <w:t>合资公司成立第一年实现公交集团方净利润</w:t>
            </w:r>
          </w:p>
        </w:tc>
        <w:tc>
          <w:tcPr>
            <w:tcW w:w="2551" w:type="dxa"/>
            <w:vAlign w:val="center"/>
          </w:tcPr>
          <w:p>
            <w:pPr>
              <w:pStyle w:val="17"/>
            </w:pPr>
            <w:r>
              <w:t>≥4万元</w:t>
            </w:r>
          </w:p>
        </w:tc>
        <w:tc>
          <w:tcPr>
            <w:tcW w:w="2268" w:type="dxa"/>
            <w:vAlign w:val="center"/>
          </w:tcPr>
          <w:p>
            <w:pPr>
              <w:pStyle w:val="17"/>
            </w:pPr>
            <w:r>
              <w:t>年度财务报告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合资方满意度</w:t>
            </w:r>
          </w:p>
        </w:tc>
        <w:tc>
          <w:tcPr>
            <w:tcW w:w="2835" w:type="dxa"/>
            <w:vAlign w:val="center"/>
          </w:tcPr>
          <w:p>
            <w:pPr>
              <w:pStyle w:val="17"/>
            </w:pPr>
            <w:r>
              <w:t>另两方合资方满意度</w:t>
            </w:r>
          </w:p>
        </w:tc>
        <w:tc>
          <w:tcPr>
            <w:tcW w:w="2551" w:type="dxa"/>
            <w:vAlign w:val="center"/>
          </w:tcPr>
          <w:p>
            <w:pPr>
              <w:pStyle w:val="17"/>
            </w:pPr>
            <w:r>
              <w:t>≥90%</w:t>
            </w:r>
          </w:p>
        </w:tc>
        <w:tc>
          <w:tcPr>
            <w:tcW w:w="2268" w:type="dxa"/>
            <w:vAlign w:val="center"/>
          </w:tcPr>
          <w:p>
            <w:pPr>
              <w:pStyle w:val="17"/>
            </w:pPr>
            <w:r>
              <w:t>合资方满意度调查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6、廊坊市城市建设工程集团有限公司增加注册资本金绩效目标表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1.通过招拍挂取得西户屯棚户区改造项目二期广阳道南侧77亩地块土地使用权证，如期开发建设，尽快达到商品房预销售，以实现项目资金回笼。</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征地面积</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≥0.1亩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征收率</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100%</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取得土地使用权证时间</w:t>
            </w:r>
          </w:p>
        </w:tc>
        <w:tc>
          <w:tcPr>
            <w:tcW w:w="2835" w:type="dxa"/>
            <w:vAlign w:val="center"/>
          </w:tcPr>
          <w:p>
            <w:pPr>
              <w:pStyle w:val="17"/>
            </w:pPr>
            <w:r>
              <w:t>西户屯棚户区改造项目二期地块根据计划2023 年1季度首笔资金支付50% 即可推进项目，半年内支付剩余全部价款，集 团完全拥有土地使用权证</w:t>
            </w:r>
          </w:p>
        </w:tc>
        <w:tc>
          <w:tcPr>
            <w:tcW w:w="2551" w:type="dxa"/>
            <w:vAlign w:val="center"/>
          </w:tcPr>
          <w:p>
            <w:pPr>
              <w:pStyle w:val="17"/>
            </w:pPr>
            <w:r>
              <w:t>2023. 12. 31</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土地出让金基准地价</w:t>
            </w:r>
          </w:p>
        </w:tc>
        <w:tc>
          <w:tcPr>
            <w:tcW w:w="2835" w:type="dxa"/>
            <w:vAlign w:val="center"/>
          </w:tcPr>
          <w:p>
            <w:pPr>
              <w:pStyle w:val="17"/>
            </w:pPr>
            <w:r>
              <w:t>按照廊坊市土地出让金基准地价征收</w:t>
            </w:r>
          </w:p>
        </w:tc>
        <w:tc>
          <w:tcPr>
            <w:tcW w:w="2551" w:type="dxa"/>
            <w:vAlign w:val="center"/>
          </w:tcPr>
          <w:p>
            <w:pPr>
              <w:pStyle w:val="17"/>
            </w:pPr>
            <w:r>
              <w:t>≤459万元/亩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减少棚户区居民上访率，维护社会稳定</w:t>
            </w:r>
          </w:p>
        </w:tc>
        <w:tc>
          <w:tcPr>
            <w:tcW w:w="2835" w:type="dxa"/>
            <w:vAlign w:val="center"/>
          </w:tcPr>
          <w:p>
            <w:pPr>
              <w:pStyle w:val="17"/>
            </w:pPr>
            <w:r>
              <w:t>减少棚户区居民上访率，维护社会稳定</w:t>
            </w:r>
          </w:p>
        </w:tc>
        <w:tc>
          <w:tcPr>
            <w:tcW w:w="2551" w:type="dxa"/>
            <w:vAlign w:val="center"/>
          </w:tcPr>
          <w:p>
            <w:pPr>
              <w:pStyle w:val="17"/>
            </w:pPr>
            <w:r>
              <w:t>0%</w:t>
            </w:r>
          </w:p>
        </w:tc>
        <w:tc>
          <w:tcPr>
            <w:tcW w:w="2268" w:type="dxa"/>
            <w:vAlign w:val="center"/>
          </w:tcPr>
          <w:p>
            <w:pPr>
              <w:pStyle w:val="17"/>
            </w:pPr>
            <w: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棚户区居民满意</w:t>
            </w:r>
          </w:p>
        </w:tc>
        <w:tc>
          <w:tcPr>
            <w:tcW w:w="2835" w:type="dxa"/>
            <w:vAlign w:val="center"/>
          </w:tcPr>
          <w:p>
            <w:pPr>
              <w:pStyle w:val="17"/>
            </w:pPr>
            <w:r>
              <w:t>居住环境即将改善，提升居民生活幸福感</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7、廊坊市农工商总公司解决历史遗留问题资金绩效目标表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对项目的开展，100%及时缴纳职工各项保险金，发放病重、下岗职工生活费或经济补偿金，发放退伍军人生活补贴、职工工资、去世人员抚恤金，全部兑现，实现对去世职工家属安抚、保证职工按时办理退休、看病享有国家医疗报销，确保下岗人员、退役军人、退休人员及在岗人员信访稳定，解决历史遗留问题，维护公司稳定目标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病重及下岗职工保险金欠缴、                  生活费或经济补偿金欠发的人数  </w:t>
            </w:r>
          </w:p>
        </w:tc>
        <w:tc>
          <w:tcPr>
            <w:tcW w:w="2835" w:type="dxa"/>
            <w:vAlign w:val="center"/>
          </w:tcPr>
          <w:p>
            <w:pPr>
              <w:pStyle w:val="17"/>
            </w:pPr>
            <w:r>
              <w:t>计划补缴2000.1-2022.12月保险金，按照档案工资基数核准表人数补缴保险金人数；自2000年1月未发放过生活费，按廊坊市最低工资标准的80%发放生活费或按照劳动法解除终止劳动关系人数未发放经济补偿金的人数</w:t>
            </w:r>
          </w:p>
        </w:tc>
        <w:tc>
          <w:tcPr>
            <w:tcW w:w="2551" w:type="dxa"/>
            <w:vAlign w:val="center"/>
          </w:tcPr>
          <w:p>
            <w:pPr>
              <w:pStyle w:val="17"/>
            </w:pPr>
            <w:r>
              <w:t>2人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退役军人生活补贴人数</w:t>
            </w:r>
          </w:p>
        </w:tc>
        <w:tc>
          <w:tcPr>
            <w:tcW w:w="2835" w:type="dxa"/>
            <w:vAlign w:val="center"/>
          </w:tcPr>
          <w:p>
            <w:pPr>
              <w:pStyle w:val="17"/>
            </w:pPr>
            <w:r>
              <w:t>计划按廊坊市最低工资标准的80%发放退伍军人2017.7-2022.12月生活费的人数</w:t>
            </w:r>
          </w:p>
        </w:tc>
        <w:tc>
          <w:tcPr>
            <w:tcW w:w="2551" w:type="dxa"/>
            <w:vAlign w:val="center"/>
          </w:tcPr>
          <w:p>
            <w:pPr>
              <w:pStyle w:val="17"/>
            </w:pPr>
            <w:r>
              <w:t>3人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缴纳职工保险金人数</w:t>
            </w:r>
          </w:p>
        </w:tc>
        <w:tc>
          <w:tcPr>
            <w:tcW w:w="2835" w:type="dxa"/>
            <w:vAlign w:val="center"/>
          </w:tcPr>
          <w:p>
            <w:pPr>
              <w:pStyle w:val="17"/>
            </w:pPr>
            <w:r>
              <w:t>计划按照档案工资基数核准，缴纳养老保险金、医疗保险等各项保险金的人数</w:t>
            </w:r>
          </w:p>
        </w:tc>
        <w:tc>
          <w:tcPr>
            <w:tcW w:w="2551" w:type="dxa"/>
            <w:vAlign w:val="center"/>
          </w:tcPr>
          <w:p>
            <w:pPr>
              <w:pStyle w:val="17"/>
            </w:pPr>
            <w:r>
              <w:t>9人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去世人员抚恤金的人数</w:t>
            </w:r>
          </w:p>
        </w:tc>
        <w:tc>
          <w:tcPr>
            <w:tcW w:w="2835" w:type="dxa"/>
            <w:vAlign w:val="center"/>
          </w:tcPr>
          <w:p>
            <w:pPr>
              <w:pStyle w:val="17"/>
            </w:pPr>
            <w:r>
              <w:t>2018－2022年发放抚恤金的人数</w:t>
            </w:r>
          </w:p>
        </w:tc>
        <w:tc>
          <w:tcPr>
            <w:tcW w:w="2551" w:type="dxa"/>
            <w:vAlign w:val="center"/>
          </w:tcPr>
          <w:p>
            <w:pPr>
              <w:pStyle w:val="17"/>
            </w:pPr>
            <w:r>
              <w:t>10人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在岗人员工资人数</w:t>
            </w:r>
          </w:p>
        </w:tc>
        <w:tc>
          <w:tcPr>
            <w:tcW w:w="2835" w:type="dxa"/>
            <w:vAlign w:val="center"/>
          </w:tcPr>
          <w:p>
            <w:pPr>
              <w:pStyle w:val="17"/>
            </w:pPr>
            <w:r>
              <w:t>计划按市人社局审批档案工资标准表在职人员发放工资的人数</w:t>
            </w:r>
          </w:p>
        </w:tc>
        <w:tc>
          <w:tcPr>
            <w:tcW w:w="2551" w:type="dxa"/>
            <w:vAlign w:val="center"/>
          </w:tcPr>
          <w:p>
            <w:pPr>
              <w:pStyle w:val="17"/>
            </w:pPr>
            <w:r>
              <w:t>7人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下岗职工生活费、退役军人生活费、去世人员抚恤金、在岗人员工资发放率</w:t>
            </w:r>
          </w:p>
        </w:tc>
        <w:tc>
          <w:tcPr>
            <w:tcW w:w="2835" w:type="dxa"/>
            <w:vAlign w:val="center"/>
          </w:tcPr>
          <w:p>
            <w:pPr>
              <w:pStyle w:val="17"/>
            </w:pPr>
            <w:r>
              <w:t>实际发放金额÷应发放金额×100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保险金上缴率</w:t>
            </w:r>
          </w:p>
        </w:tc>
        <w:tc>
          <w:tcPr>
            <w:tcW w:w="2835" w:type="dxa"/>
            <w:vAlign w:val="center"/>
          </w:tcPr>
          <w:p>
            <w:pPr>
              <w:pStyle w:val="17"/>
            </w:pPr>
            <w:r>
              <w:t>实际上缴金额÷应上缴金额×100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及时发放下岗职工生活费或经济补偿金、退役军人生活费、去世人员抚恤金、在岗人员工资</w:t>
            </w:r>
          </w:p>
        </w:tc>
        <w:tc>
          <w:tcPr>
            <w:tcW w:w="2551" w:type="dxa"/>
            <w:vAlign w:val="center"/>
          </w:tcPr>
          <w:p>
            <w:pPr>
              <w:pStyle w:val="17"/>
            </w:pPr>
            <w:r>
              <w:t>及时发放</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及时补缴下岗职工2000年1月至2022年12月保险金；及时缴纳职工2019.1-2022.12月和退役军人2017.7-2022.12月养老保险金、医疗保险等各项保险金</w:t>
            </w:r>
          </w:p>
        </w:tc>
        <w:tc>
          <w:tcPr>
            <w:tcW w:w="2551" w:type="dxa"/>
            <w:vAlign w:val="center"/>
          </w:tcPr>
          <w:p>
            <w:pPr>
              <w:pStyle w:val="17"/>
            </w:pPr>
            <w:r>
              <w:t>及时上缴</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病重及下岗职工保险金欠缴、                  生活费或经济补偿金欠发的成本</w:t>
            </w:r>
          </w:p>
        </w:tc>
        <w:tc>
          <w:tcPr>
            <w:tcW w:w="2835" w:type="dxa"/>
            <w:vAlign w:val="center"/>
          </w:tcPr>
          <w:p>
            <w:pPr>
              <w:pStyle w:val="17"/>
            </w:pPr>
            <w:r>
              <w:t>补缴2000.1-2022.12月保险金，按照档案工资基数核准表补缴保险金；按廊坊市最低工资标准的80%发放生活费或按照劳动法解除终止劳动关系人数未发放经济补偿金的金额</w:t>
            </w:r>
          </w:p>
        </w:tc>
        <w:tc>
          <w:tcPr>
            <w:tcW w:w="2551" w:type="dxa"/>
            <w:vAlign w:val="center"/>
          </w:tcPr>
          <w:p>
            <w:pPr>
              <w:pStyle w:val="17"/>
            </w:pPr>
            <w:r>
              <w:t>≤77.3万元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退役军人生活补贴成本</w:t>
            </w:r>
          </w:p>
        </w:tc>
        <w:tc>
          <w:tcPr>
            <w:tcW w:w="2835" w:type="dxa"/>
            <w:vAlign w:val="center"/>
          </w:tcPr>
          <w:p>
            <w:pPr>
              <w:pStyle w:val="17"/>
            </w:pPr>
            <w:r>
              <w:t>自2017年落实退役军人政策，按廊坊市最低工资标准的80%发放2017.7-2022.12月生活费金额</w:t>
            </w:r>
          </w:p>
        </w:tc>
        <w:tc>
          <w:tcPr>
            <w:tcW w:w="2551" w:type="dxa"/>
            <w:vAlign w:val="center"/>
          </w:tcPr>
          <w:p>
            <w:pPr>
              <w:pStyle w:val="17"/>
            </w:pPr>
            <w:r>
              <w:t>≤27.2万元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缴纳职工保险金成本</w:t>
            </w:r>
          </w:p>
        </w:tc>
        <w:tc>
          <w:tcPr>
            <w:tcW w:w="2835" w:type="dxa"/>
            <w:vAlign w:val="center"/>
          </w:tcPr>
          <w:p>
            <w:pPr>
              <w:pStyle w:val="17"/>
            </w:pPr>
            <w:r>
              <w:t>按照档案工资基数核准，缴纳养老保险金、医疗保险等各项保险金的金额</w:t>
            </w:r>
          </w:p>
        </w:tc>
        <w:tc>
          <w:tcPr>
            <w:tcW w:w="2551" w:type="dxa"/>
            <w:vAlign w:val="center"/>
          </w:tcPr>
          <w:p>
            <w:pPr>
              <w:pStyle w:val="17"/>
            </w:pPr>
            <w:r>
              <w:t>≤86.9万元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去世人员抚恤金成本</w:t>
            </w:r>
          </w:p>
        </w:tc>
        <w:tc>
          <w:tcPr>
            <w:tcW w:w="2835" w:type="dxa"/>
            <w:vAlign w:val="center"/>
          </w:tcPr>
          <w:p>
            <w:pPr>
              <w:pStyle w:val="17"/>
            </w:pPr>
            <w:r>
              <w:t>应发未发放抚恤金</w:t>
            </w:r>
          </w:p>
        </w:tc>
        <w:tc>
          <w:tcPr>
            <w:tcW w:w="2551" w:type="dxa"/>
            <w:vAlign w:val="center"/>
          </w:tcPr>
          <w:p>
            <w:pPr>
              <w:pStyle w:val="17"/>
            </w:pPr>
            <w:r>
              <w:t>≤45.3万元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在岗人员工资成本</w:t>
            </w:r>
          </w:p>
        </w:tc>
        <w:tc>
          <w:tcPr>
            <w:tcW w:w="2835" w:type="dxa"/>
            <w:vAlign w:val="center"/>
          </w:tcPr>
          <w:p>
            <w:pPr>
              <w:pStyle w:val="17"/>
            </w:pPr>
            <w:r>
              <w:t>按市人社局审批档案工资标准表覆盖率、发放总人数的比例金额</w:t>
            </w:r>
          </w:p>
        </w:tc>
        <w:tc>
          <w:tcPr>
            <w:tcW w:w="2551" w:type="dxa"/>
            <w:vAlign w:val="center"/>
          </w:tcPr>
          <w:p>
            <w:pPr>
              <w:pStyle w:val="17"/>
            </w:pPr>
            <w:r>
              <w:t>≤53.3万元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降低上访率</w:t>
            </w:r>
          </w:p>
        </w:tc>
        <w:tc>
          <w:tcPr>
            <w:tcW w:w="2835" w:type="dxa"/>
            <w:vAlign w:val="center"/>
          </w:tcPr>
          <w:p>
            <w:pPr>
              <w:pStyle w:val="17"/>
            </w:pPr>
            <w:r>
              <w:t>实际上访人数÷应上访人数×100</w:t>
            </w:r>
          </w:p>
        </w:tc>
        <w:tc>
          <w:tcPr>
            <w:tcW w:w="2551" w:type="dxa"/>
            <w:vAlign w:val="center"/>
          </w:tcPr>
          <w:p>
            <w:pPr>
              <w:pStyle w:val="17"/>
            </w:pPr>
            <w:r>
              <w:t>≤8%</w:t>
            </w:r>
          </w:p>
        </w:tc>
        <w:tc>
          <w:tcPr>
            <w:tcW w:w="2268" w:type="dxa"/>
            <w:vAlign w:val="center"/>
          </w:tcPr>
          <w:p>
            <w:pPr>
              <w:pStyle w:val="17"/>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欠发、欠缴人员满意度</w:t>
            </w:r>
          </w:p>
        </w:tc>
        <w:tc>
          <w:tcPr>
            <w:tcW w:w="2551" w:type="dxa"/>
            <w:vAlign w:val="center"/>
          </w:tcPr>
          <w:p>
            <w:pPr>
              <w:pStyle w:val="17"/>
            </w:pPr>
            <w:r>
              <w:t>≥92%</w:t>
            </w:r>
          </w:p>
        </w:tc>
        <w:tc>
          <w:tcPr>
            <w:tcW w:w="2268" w:type="dxa"/>
            <w:vAlign w:val="center"/>
          </w:tcPr>
          <w:p>
            <w:pPr>
              <w:pStyle w:val="17"/>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8、廊坊市天都大酒店补充注册资本金绩效目标表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1.注册资本金划拨后，按照计划实施方案：                                                                   1、完成更新锅炉设备，实现节约能源消耗目标，利于酒店拓展市场扩大经营；                                  2、完成逐步更新完善相关设备设施，提升接待环境及整体软件服务，保证资质提升顺利通过，能够增收创收，实现减亏持续经营和服务对象满意度的目标；                                                                                                                                                                                          3、完成偿还借款本金及支付相关利息，解决酒店债务问题，实现酒店持续经营的目标；                          4、弥补事业编制人员工资缺口，确保酒店人员职工队伍稳定，保证酒店各项工作稳步发展。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改造锅炉设备数量</w:t>
            </w:r>
          </w:p>
        </w:tc>
        <w:tc>
          <w:tcPr>
            <w:tcW w:w="2835" w:type="dxa"/>
            <w:vAlign w:val="center"/>
          </w:tcPr>
          <w:p>
            <w:pPr>
              <w:pStyle w:val="17"/>
            </w:pPr>
            <w:r>
              <w:t>反映购置设备数量完成情况.</w:t>
            </w:r>
          </w:p>
        </w:tc>
        <w:tc>
          <w:tcPr>
            <w:tcW w:w="2551" w:type="dxa"/>
            <w:vAlign w:val="center"/>
          </w:tcPr>
          <w:p>
            <w:pPr>
              <w:pStyle w:val="17"/>
            </w:pPr>
            <w:r>
              <w:t>1套</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弥补经费缺口</w:t>
            </w:r>
          </w:p>
        </w:tc>
        <w:tc>
          <w:tcPr>
            <w:tcW w:w="2835" w:type="dxa"/>
            <w:vAlign w:val="center"/>
          </w:tcPr>
          <w:p>
            <w:pPr>
              <w:pStyle w:val="17"/>
            </w:pPr>
            <w:r>
              <w:t>31人事业编制人员工资及保险.</w:t>
            </w:r>
          </w:p>
        </w:tc>
        <w:tc>
          <w:tcPr>
            <w:tcW w:w="2551" w:type="dxa"/>
            <w:vAlign w:val="center"/>
          </w:tcPr>
          <w:p>
            <w:pPr>
              <w:pStyle w:val="17"/>
            </w:pPr>
            <w:r>
              <w:t>31人</w:t>
            </w:r>
          </w:p>
        </w:tc>
        <w:tc>
          <w:tcPr>
            <w:tcW w:w="2268" w:type="dxa"/>
            <w:vAlign w:val="center"/>
          </w:tcPr>
          <w:p>
            <w:pPr>
              <w:pStyle w:val="17"/>
            </w:pPr>
            <w:r>
              <w:t>根据酒店目前在编人员情况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反映酒店锅炉设备改造以及酒店其他设备设施采购产品合格率.</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竣工验收合格率</w:t>
            </w:r>
          </w:p>
        </w:tc>
        <w:tc>
          <w:tcPr>
            <w:tcW w:w="2835" w:type="dxa"/>
            <w:vAlign w:val="center"/>
          </w:tcPr>
          <w:p>
            <w:pPr>
              <w:pStyle w:val="17"/>
            </w:pPr>
            <w:r>
              <w:t>反映酒店各项工程竣工验收情况.</w:t>
            </w:r>
          </w:p>
        </w:tc>
        <w:tc>
          <w:tcPr>
            <w:tcW w:w="2551" w:type="dxa"/>
            <w:vAlign w:val="center"/>
          </w:tcPr>
          <w:p>
            <w:pPr>
              <w:pStyle w:val="17"/>
            </w:pPr>
            <w:r>
              <w:t>100%</w:t>
            </w:r>
          </w:p>
        </w:tc>
        <w:tc>
          <w:tcPr>
            <w:tcW w:w="2268" w:type="dxa"/>
            <w:vAlign w:val="center"/>
          </w:tcPr>
          <w:p>
            <w:pPr>
              <w:pStyle w:val="17"/>
            </w:pPr>
            <w:r>
              <w:t>根据酒店施工计划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反映工资福利等发放的时效情况.</w:t>
            </w:r>
          </w:p>
        </w:tc>
        <w:tc>
          <w:tcPr>
            <w:tcW w:w="2551" w:type="dxa"/>
            <w:vAlign w:val="center"/>
          </w:tcPr>
          <w:p>
            <w:pPr>
              <w:pStyle w:val="17"/>
            </w:pPr>
            <w:r>
              <w:t>每月10号之前发放</w:t>
            </w:r>
          </w:p>
        </w:tc>
        <w:tc>
          <w:tcPr>
            <w:tcW w:w="2268" w:type="dxa"/>
            <w:vAlign w:val="center"/>
          </w:tcPr>
          <w:p>
            <w:pPr>
              <w:pStyle w:val="17"/>
            </w:pPr>
            <w:r>
              <w:t>根据酒店工资支付规定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项目按计划完工率</w:t>
            </w:r>
          </w:p>
        </w:tc>
        <w:tc>
          <w:tcPr>
            <w:tcW w:w="2835" w:type="dxa"/>
            <w:vAlign w:val="center"/>
          </w:tcPr>
          <w:p>
            <w:pPr>
              <w:pStyle w:val="17"/>
            </w:pPr>
            <w:r>
              <w:t>反映工程按计划完工情况</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支付借款本金及利息成本</w:t>
            </w:r>
          </w:p>
        </w:tc>
        <w:tc>
          <w:tcPr>
            <w:tcW w:w="2835" w:type="dxa"/>
            <w:vAlign w:val="center"/>
          </w:tcPr>
          <w:p>
            <w:pPr>
              <w:pStyle w:val="17"/>
            </w:pPr>
            <w:r>
              <w:t>反映酒店借款本金及利息偿还情况.</w:t>
            </w:r>
          </w:p>
        </w:tc>
        <w:tc>
          <w:tcPr>
            <w:tcW w:w="2551" w:type="dxa"/>
            <w:vAlign w:val="center"/>
          </w:tcPr>
          <w:p>
            <w:pPr>
              <w:pStyle w:val="17"/>
            </w:pPr>
            <w:r>
              <w:t>≤166万元</w:t>
            </w:r>
          </w:p>
        </w:tc>
        <w:tc>
          <w:tcPr>
            <w:tcW w:w="2268" w:type="dxa"/>
            <w:vAlign w:val="center"/>
          </w:tcPr>
          <w:p>
            <w:pPr>
              <w:pStyle w:val="17"/>
            </w:pPr>
            <w:r>
              <w:t>根据资金支出计划及往年利息支付数据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改造锅炉设备</w:t>
            </w:r>
          </w:p>
        </w:tc>
        <w:tc>
          <w:tcPr>
            <w:tcW w:w="2835" w:type="dxa"/>
            <w:vAlign w:val="center"/>
          </w:tcPr>
          <w:p>
            <w:pPr>
              <w:pStyle w:val="17"/>
            </w:pPr>
            <w:r>
              <w:t>锅炉设备费用.</w:t>
            </w:r>
          </w:p>
        </w:tc>
        <w:tc>
          <w:tcPr>
            <w:tcW w:w="2551" w:type="dxa"/>
            <w:vAlign w:val="center"/>
          </w:tcPr>
          <w:p>
            <w:pPr>
              <w:pStyle w:val="17"/>
            </w:pPr>
            <w:r>
              <w:t>≤60万元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创建五叶绿色饭店</w:t>
            </w:r>
          </w:p>
        </w:tc>
        <w:tc>
          <w:tcPr>
            <w:tcW w:w="2835" w:type="dxa"/>
            <w:vAlign w:val="center"/>
          </w:tcPr>
          <w:p>
            <w:pPr>
              <w:pStyle w:val="17"/>
            </w:pPr>
            <w:r>
              <w:t>按照要求对不合格区域进行升级改造费用.</w:t>
            </w:r>
          </w:p>
        </w:tc>
        <w:tc>
          <w:tcPr>
            <w:tcW w:w="2551" w:type="dxa"/>
            <w:vAlign w:val="center"/>
          </w:tcPr>
          <w:p>
            <w:pPr>
              <w:pStyle w:val="17"/>
            </w:pPr>
            <w:r>
              <w:t>≤40万元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弥补经费缺口</w:t>
            </w:r>
          </w:p>
        </w:tc>
        <w:tc>
          <w:tcPr>
            <w:tcW w:w="2835" w:type="dxa"/>
            <w:vAlign w:val="center"/>
          </w:tcPr>
          <w:p>
            <w:pPr>
              <w:pStyle w:val="17"/>
            </w:pPr>
            <w:r>
              <w:t>反映在编人员工资及保险发放和缴纳情况.</w:t>
            </w:r>
          </w:p>
        </w:tc>
        <w:tc>
          <w:tcPr>
            <w:tcW w:w="2551" w:type="dxa"/>
            <w:vAlign w:val="center"/>
          </w:tcPr>
          <w:p>
            <w:pPr>
              <w:pStyle w:val="17"/>
            </w:pPr>
            <w:r>
              <w:t>≤230万元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节约能源消耗率</w:t>
            </w:r>
          </w:p>
        </w:tc>
        <w:tc>
          <w:tcPr>
            <w:tcW w:w="2835" w:type="dxa"/>
            <w:vAlign w:val="center"/>
          </w:tcPr>
          <w:p>
            <w:pPr>
              <w:pStyle w:val="17"/>
            </w:pPr>
            <w:r>
              <w:t>通过维修和设备更新改造，使能源消耗降低.</w:t>
            </w:r>
          </w:p>
        </w:tc>
        <w:tc>
          <w:tcPr>
            <w:tcW w:w="2551" w:type="dxa"/>
            <w:vAlign w:val="center"/>
          </w:tcPr>
          <w:p>
            <w:pPr>
              <w:pStyle w:val="17"/>
            </w:pPr>
            <w:r>
              <w:t>≥3%</w:t>
            </w:r>
          </w:p>
        </w:tc>
        <w:tc>
          <w:tcPr>
            <w:tcW w:w="2268" w:type="dxa"/>
            <w:vAlign w:val="center"/>
          </w:tcPr>
          <w:p>
            <w:pPr>
              <w:pStyle w:val="17"/>
            </w:pPr>
            <w:r>
              <w:t>根据酒店水电燃气能源消耗的票据及酒店整合的能源消耗表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酒店持续经营</w:t>
            </w:r>
          </w:p>
        </w:tc>
        <w:tc>
          <w:tcPr>
            <w:tcW w:w="2835" w:type="dxa"/>
            <w:vAlign w:val="center"/>
          </w:tcPr>
          <w:p>
            <w:pPr>
              <w:pStyle w:val="17"/>
            </w:pPr>
            <w:r>
              <w:t>改善接待环境，提升服务质量，降低酒店亏损额，使酒店持续经营.</w:t>
            </w:r>
          </w:p>
        </w:tc>
        <w:tc>
          <w:tcPr>
            <w:tcW w:w="2551" w:type="dxa"/>
            <w:vAlign w:val="center"/>
          </w:tcPr>
          <w:p>
            <w:pPr>
              <w:pStyle w:val="17"/>
            </w:pPr>
            <w:r>
              <w:t>持续经营</w:t>
            </w:r>
          </w:p>
        </w:tc>
        <w:tc>
          <w:tcPr>
            <w:tcW w:w="2268" w:type="dxa"/>
            <w:vAlign w:val="center"/>
          </w:tcPr>
          <w:p>
            <w:pPr>
              <w:pStyle w:val="17"/>
            </w:pPr>
            <w:r>
              <w:t>按照酒店经营情况及审计报告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锅炉及溴化锂机组设备使用年限</w:t>
            </w:r>
          </w:p>
        </w:tc>
        <w:tc>
          <w:tcPr>
            <w:tcW w:w="2835" w:type="dxa"/>
            <w:vAlign w:val="center"/>
          </w:tcPr>
          <w:p>
            <w:pPr>
              <w:pStyle w:val="17"/>
            </w:pPr>
            <w:r>
              <w:t>反映设备使用年限情况，设施能够持续使用.</w:t>
            </w:r>
          </w:p>
        </w:tc>
        <w:tc>
          <w:tcPr>
            <w:tcW w:w="2551" w:type="dxa"/>
            <w:vAlign w:val="center"/>
          </w:tcPr>
          <w:p>
            <w:pPr>
              <w:pStyle w:val="17"/>
            </w:pPr>
            <w:r>
              <w:t>≤20年</w:t>
            </w:r>
          </w:p>
        </w:tc>
        <w:tc>
          <w:tcPr>
            <w:tcW w:w="2268" w:type="dxa"/>
            <w:vAlign w:val="center"/>
          </w:tcPr>
          <w:p>
            <w:pPr>
              <w:pStyle w:val="17"/>
            </w:pPr>
            <w:r>
              <w:t>根据税法规定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作为全市政务接待窗口，企业接待满意度95%以上.</w:t>
            </w:r>
          </w:p>
        </w:tc>
        <w:tc>
          <w:tcPr>
            <w:tcW w:w="2551" w:type="dxa"/>
            <w:vAlign w:val="center"/>
          </w:tcPr>
          <w:p>
            <w:pPr>
              <w:pStyle w:val="17"/>
            </w:pPr>
            <w:r>
              <w:t>≥95%</w:t>
            </w:r>
          </w:p>
        </w:tc>
        <w:tc>
          <w:tcPr>
            <w:tcW w:w="2268" w:type="dxa"/>
            <w:vAlign w:val="center"/>
          </w:tcPr>
          <w:p>
            <w:pPr>
              <w:pStyle w:val="17"/>
            </w:pPr>
            <w:r>
              <w:t>根据会议满意度调查问卷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9、廊坊市投资控股集团有限公司增加注册资本金绩效目标表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1.通过严格尽职调查和资产评估，完成经营性资产收购方案进行经营性资产收购</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收购企业数量</w:t>
            </w:r>
          </w:p>
        </w:tc>
        <w:tc>
          <w:tcPr>
            <w:tcW w:w="2835" w:type="dxa"/>
            <w:vAlign w:val="center"/>
          </w:tcPr>
          <w:p>
            <w:pPr>
              <w:pStyle w:val="17"/>
            </w:pPr>
            <w:r>
              <w:t>收购企业数量</w:t>
            </w:r>
          </w:p>
        </w:tc>
        <w:tc>
          <w:tcPr>
            <w:tcW w:w="2551" w:type="dxa"/>
            <w:vAlign w:val="center"/>
          </w:tcPr>
          <w:p>
            <w:pPr>
              <w:pStyle w:val="17"/>
            </w:pPr>
            <w:r>
              <w:t>1家</w:t>
            </w:r>
          </w:p>
        </w:tc>
        <w:tc>
          <w:tcPr>
            <w:tcW w:w="2268" w:type="dxa"/>
            <w:vAlign w:val="center"/>
          </w:tcPr>
          <w:p>
            <w:pPr>
              <w:pStyle w:val="17"/>
            </w:pPr>
            <w:r>
              <w:t>收购方案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收购完成率</w:t>
            </w:r>
          </w:p>
        </w:tc>
        <w:tc>
          <w:tcPr>
            <w:tcW w:w="2835" w:type="dxa"/>
            <w:vAlign w:val="center"/>
          </w:tcPr>
          <w:p>
            <w:pPr>
              <w:pStyle w:val="17"/>
            </w:pPr>
            <w:r>
              <w:t>收购完成率</w:t>
            </w:r>
          </w:p>
        </w:tc>
        <w:tc>
          <w:tcPr>
            <w:tcW w:w="2551" w:type="dxa"/>
            <w:vAlign w:val="center"/>
          </w:tcPr>
          <w:p>
            <w:pPr>
              <w:pStyle w:val="17"/>
            </w:pPr>
            <w:r>
              <w:t>100%</w:t>
            </w:r>
          </w:p>
        </w:tc>
        <w:tc>
          <w:tcPr>
            <w:tcW w:w="2268" w:type="dxa"/>
            <w:vAlign w:val="center"/>
          </w:tcPr>
          <w:p>
            <w:pPr>
              <w:pStyle w:val="17"/>
            </w:pPr>
            <w:r>
              <w:t>法律尽职调查报告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收购时间</w:t>
            </w:r>
          </w:p>
        </w:tc>
        <w:tc>
          <w:tcPr>
            <w:tcW w:w="2835" w:type="dxa"/>
            <w:vAlign w:val="center"/>
          </w:tcPr>
          <w:p>
            <w:pPr>
              <w:pStyle w:val="17"/>
            </w:pPr>
            <w:r>
              <w:t>收购企业具体完成时间</w:t>
            </w:r>
          </w:p>
        </w:tc>
        <w:tc>
          <w:tcPr>
            <w:tcW w:w="2551" w:type="dxa"/>
            <w:vAlign w:val="center"/>
          </w:tcPr>
          <w:p>
            <w:pPr>
              <w:pStyle w:val="17"/>
            </w:pPr>
            <w:r>
              <w:t>2023. 10.31</w:t>
            </w:r>
          </w:p>
        </w:tc>
        <w:tc>
          <w:tcPr>
            <w:tcW w:w="2268" w:type="dxa"/>
            <w:vAlign w:val="center"/>
          </w:tcPr>
          <w:p>
            <w:pPr>
              <w:pStyle w:val="17"/>
            </w:pPr>
            <w:r>
              <w:t>资产或股权交割日期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增加注册资本金成本</w:t>
            </w:r>
          </w:p>
        </w:tc>
        <w:tc>
          <w:tcPr>
            <w:tcW w:w="2835" w:type="dxa"/>
            <w:vAlign w:val="center"/>
          </w:tcPr>
          <w:p>
            <w:pPr>
              <w:pStyle w:val="17"/>
            </w:pPr>
            <w:r>
              <w:t>按照廊坊市土地出让金基准地价征收</w:t>
            </w:r>
          </w:p>
        </w:tc>
        <w:tc>
          <w:tcPr>
            <w:tcW w:w="2551" w:type="dxa"/>
            <w:vAlign w:val="center"/>
          </w:tcPr>
          <w:p>
            <w:pPr>
              <w:pStyle w:val="17"/>
            </w:pPr>
            <w:r>
              <w:t>200万元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增加企业经营资产板块</w:t>
            </w:r>
          </w:p>
        </w:tc>
        <w:tc>
          <w:tcPr>
            <w:tcW w:w="2835" w:type="dxa"/>
            <w:vAlign w:val="center"/>
          </w:tcPr>
          <w:p>
            <w:pPr>
              <w:pStyle w:val="17"/>
            </w:pPr>
            <w:r>
              <w:t>国有资产运营稳定</w:t>
            </w:r>
          </w:p>
        </w:tc>
        <w:tc>
          <w:tcPr>
            <w:tcW w:w="2551" w:type="dxa"/>
            <w:vAlign w:val="center"/>
          </w:tcPr>
          <w:p>
            <w:pPr>
              <w:pStyle w:val="17"/>
            </w:pPr>
            <w:r>
              <w:t>企业稳定发展</w:t>
            </w:r>
          </w:p>
        </w:tc>
        <w:tc>
          <w:tcPr>
            <w:tcW w:w="2268" w:type="dxa"/>
            <w:vAlign w:val="center"/>
          </w:tcPr>
          <w:p>
            <w:pPr>
              <w:pStyle w:val="17"/>
            </w:pPr>
            <w:r>
              <w:t>企业运行情况说明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反映接受资金企业满意情况</w:t>
            </w:r>
          </w:p>
        </w:tc>
        <w:tc>
          <w:tcPr>
            <w:tcW w:w="2551" w:type="dxa"/>
            <w:vAlign w:val="center"/>
          </w:tcPr>
          <w:p>
            <w:pPr>
              <w:pStyle w:val="17"/>
            </w:pPr>
            <w:r>
              <w:t>≥95%</w:t>
            </w:r>
          </w:p>
        </w:tc>
        <w:tc>
          <w:tcPr>
            <w:tcW w:w="2268" w:type="dxa"/>
            <w:vAlign w:val="center"/>
          </w:tcPr>
          <w:p>
            <w:pPr>
              <w:pStyle w:val="17"/>
            </w:pPr>
            <w:r>
              <w:t>问卷调査</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10、廊坊市物产企业集团有限公司解决历史遗留问题资金绩效目标表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1.完成集团在册职工欠缴养老保险的补缴工作，解决历史遗留问题，集团稳定发展和效益提升。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欠缴养老保险职工数量　</w:t>
            </w:r>
          </w:p>
        </w:tc>
        <w:tc>
          <w:tcPr>
            <w:tcW w:w="2835" w:type="dxa"/>
            <w:vAlign w:val="center"/>
          </w:tcPr>
          <w:p>
            <w:pPr>
              <w:pStyle w:val="17"/>
            </w:pPr>
            <w:r>
              <w:t>缴纳保险金人员数</w:t>
            </w:r>
          </w:p>
        </w:tc>
        <w:tc>
          <w:tcPr>
            <w:tcW w:w="2551" w:type="dxa"/>
            <w:vAlign w:val="center"/>
          </w:tcPr>
          <w:p>
            <w:pPr>
              <w:pStyle w:val="17"/>
            </w:pPr>
            <w:r>
              <w:t>≤85人次</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上缴率</w:t>
            </w:r>
          </w:p>
        </w:tc>
        <w:tc>
          <w:tcPr>
            <w:tcW w:w="2835" w:type="dxa"/>
            <w:vAlign w:val="center"/>
          </w:tcPr>
          <w:p>
            <w:pPr>
              <w:pStyle w:val="17"/>
            </w:pPr>
            <w:r>
              <w:t>补缴人数与欠缴人数之比</w:t>
            </w:r>
          </w:p>
        </w:tc>
        <w:tc>
          <w:tcPr>
            <w:tcW w:w="2551" w:type="dxa"/>
            <w:vAlign w:val="center"/>
          </w:tcPr>
          <w:p>
            <w:pPr>
              <w:pStyle w:val="17"/>
            </w:pPr>
            <w:r>
              <w:t>≤100%</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社保中心备案登记欠缴时间</w:t>
            </w:r>
          </w:p>
        </w:tc>
        <w:tc>
          <w:tcPr>
            <w:tcW w:w="2551" w:type="dxa"/>
            <w:vAlign w:val="center"/>
          </w:tcPr>
          <w:p>
            <w:pPr>
              <w:pStyle w:val="17"/>
            </w:pPr>
            <w:r>
              <w:t>及时上缴</w:t>
            </w:r>
          </w:p>
        </w:tc>
        <w:tc>
          <w:tcPr>
            <w:tcW w:w="2268" w:type="dxa"/>
            <w:vAlign w:val="center"/>
          </w:tcPr>
          <w:p>
            <w:pPr>
              <w:pStyle w:val="17"/>
            </w:pPr>
            <w:r>
              <w:t>缴纳保险费单据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缴纳欠款标准</w:t>
            </w:r>
          </w:p>
        </w:tc>
        <w:tc>
          <w:tcPr>
            <w:tcW w:w="2835" w:type="dxa"/>
            <w:vAlign w:val="center"/>
          </w:tcPr>
          <w:p>
            <w:pPr>
              <w:pStyle w:val="17"/>
            </w:pPr>
            <w:r>
              <w:t>社保中心缴费标准</w:t>
            </w:r>
          </w:p>
        </w:tc>
        <w:tc>
          <w:tcPr>
            <w:tcW w:w="2551" w:type="dxa"/>
            <w:vAlign w:val="center"/>
          </w:tcPr>
          <w:p>
            <w:pPr>
              <w:pStyle w:val="17"/>
            </w:pPr>
            <w:r>
              <w:t>≤260万元</w:t>
            </w:r>
          </w:p>
        </w:tc>
        <w:tc>
          <w:tcPr>
            <w:tcW w:w="2268" w:type="dxa"/>
            <w:vAlign w:val="center"/>
          </w:tcPr>
          <w:p>
            <w:pPr>
              <w:pStyle w:val="17"/>
            </w:pPr>
            <w:r>
              <w:t>社保中心缴费标准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减少上访率</w:t>
            </w:r>
          </w:p>
        </w:tc>
        <w:tc>
          <w:tcPr>
            <w:tcW w:w="2835" w:type="dxa"/>
            <w:vAlign w:val="center"/>
          </w:tcPr>
          <w:p>
            <w:pPr>
              <w:pStyle w:val="17"/>
            </w:pPr>
            <w:r>
              <w:t>不发生上访</w:t>
            </w:r>
          </w:p>
        </w:tc>
        <w:tc>
          <w:tcPr>
            <w:tcW w:w="2551" w:type="dxa"/>
            <w:vAlign w:val="center"/>
          </w:tcPr>
          <w:p>
            <w:pPr>
              <w:pStyle w:val="17"/>
            </w:pPr>
            <w:r>
              <w:t>0人次</w:t>
            </w:r>
          </w:p>
        </w:tc>
        <w:tc>
          <w:tcPr>
            <w:tcW w:w="2268" w:type="dxa"/>
            <w:vAlign w:val="center"/>
          </w:tcPr>
          <w:p>
            <w:pPr>
              <w:pStyle w:val="17"/>
            </w:pPr>
            <w:r>
              <w:t>上级信访部门记录情况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职工满意程度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11、企业发展促进专项经费绩效目标表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通过此项目的完成，做到按时完成6名在职人员、2名退休人员统筹外工资、1名遗属人员补助发放，维护职工稳定和社会稳定。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企业发展促进专项经费发放在职补贴人数</w:t>
            </w:r>
          </w:p>
        </w:tc>
        <w:tc>
          <w:tcPr>
            <w:tcW w:w="2835" w:type="dxa"/>
            <w:vAlign w:val="center"/>
          </w:tcPr>
          <w:p>
            <w:pPr>
              <w:pStyle w:val="17"/>
            </w:pPr>
            <w:r>
              <w:t>考察企业发展促进专项经费发放在职补贴人数情况</w:t>
            </w:r>
          </w:p>
        </w:tc>
        <w:tc>
          <w:tcPr>
            <w:tcW w:w="2551" w:type="dxa"/>
            <w:vAlign w:val="center"/>
          </w:tcPr>
          <w:p>
            <w:pPr>
              <w:pStyle w:val="17"/>
            </w:pPr>
            <w:r>
              <w:t>≤6名</w:t>
            </w:r>
          </w:p>
        </w:tc>
        <w:tc>
          <w:tcPr>
            <w:tcW w:w="2268" w:type="dxa"/>
            <w:vAlign w:val="center"/>
          </w:tcPr>
          <w:p>
            <w:pPr>
              <w:pStyle w:val="17"/>
            </w:pPr>
            <w:r>
              <w:t>企业发展促进中心在职人员花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企业发展促进专项经费发放补贴退休人数</w:t>
            </w:r>
          </w:p>
        </w:tc>
        <w:tc>
          <w:tcPr>
            <w:tcW w:w="2835" w:type="dxa"/>
            <w:vAlign w:val="center"/>
          </w:tcPr>
          <w:p>
            <w:pPr>
              <w:pStyle w:val="17"/>
            </w:pPr>
            <w:r>
              <w:t>考察企业发展促进专项经费发放补贴退休人数情况</w:t>
            </w:r>
          </w:p>
        </w:tc>
        <w:tc>
          <w:tcPr>
            <w:tcW w:w="2551" w:type="dxa"/>
            <w:vAlign w:val="center"/>
          </w:tcPr>
          <w:p>
            <w:pPr>
              <w:pStyle w:val="17"/>
            </w:pPr>
            <w:r>
              <w:t>2名</w:t>
            </w:r>
          </w:p>
        </w:tc>
        <w:tc>
          <w:tcPr>
            <w:tcW w:w="2268" w:type="dxa"/>
            <w:vAlign w:val="center"/>
          </w:tcPr>
          <w:p>
            <w:pPr>
              <w:pStyle w:val="17"/>
            </w:pPr>
            <w:r>
              <w:t>企业发展促进中心退休人员花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企业发展促进专项经费发放补贴遗属人数</w:t>
            </w:r>
          </w:p>
        </w:tc>
        <w:tc>
          <w:tcPr>
            <w:tcW w:w="2835" w:type="dxa"/>
            <w:vAlign w:val="center"/>
          </w:tcPr>
          <w:p>
            <w:pPr>
              <w:pStyle w:val="17"/>
            </w:pPr>
            <w:r>
              <w:t>考察企业发展促进专项经费发放补贴遗属人数情况</w:t>
            </w:r>
          </w:p>
        </w:tc>
        <w:tc>
          <w:tcPr>
            <w:tcW w:w="2551" w:type="dxa"/>
            <w:vAlign w:val="center"/>
          </w:tcPr>
          <w:p>
            <w:pPr>
              <w:pStyle w:val="17"/>
            </w:pPr>
            <w:r>
              <w:t>1名</w:t>
            </w:r>
          </w:p>
        </w:tc>
        <w:tc>
          <w:tcPr>
            <w:tcW w:w="2268" w:type="dxa"/>
            <w:vAlign w:val="center"/>
          </w:tcPr>
          <w:p>
            <w:pPr>
              <w:pStyle w:val="17"/>
            </w:pPr>
            <w:r>
              <w:t>企业发展促进中心遗属人员花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考察企业发展促进专项经费补贴发放情况</w:t>
            </w:r>
          </w:p>
        </w:tc>
        <w:tc>
          <w:tcPr>
            <w:tcW w:w="2551" w:type="dxa"/>
            <w:vAlign w:val="center"/>
          </w:tcPr>
          <w:p>
            <w:pPr>
              <w:pStyle w:val="17"/>
            </w:pPr>
            <w:r>
              <w:t>100%</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发放工作时间</w:t>
            </w:r>
          </w:p>
        </w:tc>
        <w:tc>
          <w:tcPr>
            <w:tcW w:w="2835" w:type="dxa"/>
            <w:vAlign w:val="center"/>
          </w:tcPr>
          <w:p>
            <w:pPr>
              <w:pStyle w:val="17"/>
            </w:pPr>
            <w:r>
              <w:t>发放工作时间</w:t>
            </w:r>
          </w:p>
        </w:tc>
        <w:tc>
          <w:tcPr>
            <w:tcW w:w="2551" w:type="dxa"/>
            <w:vAlign w:val="center"/>
          </w:tcPr>
          <w:p>
            <w:pPr>
              <w:pStyle w:val="17"/>
            </w:pPr>
            <w:r>
              <w:t>按月发放</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在职人员人均补贴额</w:t>
            </w:r>
          </w:p>
        </w:tc>
        <w:tc>
          <w:tcPr>
            <w:tcW w:w="2835" w:type="dxa"/>
            <w:vAlign w:val="center"/>
          </w:tcPr>
          <w:p>
            <w:pPr>
              <w:pStyle w:val="17"/>
            </w:pPr>
            <w:r>
              <w:t>在职人员人均补贴额</w:t>
            </w:r>
          </w:p>
        </w:tc>
        <w:tc>
          <w:tcPr>
            <w:tcW w:w="2551" w:type="dxa"/>
            <w:vAlign w:val="center"/>
          </w:tcPr>
          <w:p>
            <w:pPr>
              <w:pStyle w:val="17"/>
            </w:pPr>
            <w:r>
              <w:t>≤12.8万元</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企业发展促进中心人员对经费发放满意度</w:t>
            </w:r>
          </w:p>
        </w:tc>
        <w:tc>
          <w:tcPr>
            <w:tcW w:w="2835" w:type="dxa"/>
            <w:vAlign w:val="center"/>
          </w:tcPr>
          <w:p>
            <w:pPr>
              <w:pStyle w:val="17"/>
            </w:pPr>
            <w:r>
              <w:t>企业发展促进中心人员对经费发放满意度</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12、全域公交化改造项目资金绩效目标表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1.1、开通廊坊至永清公交线路，运营线路2条，满足人民群众的公交出行需求。</w:t>
            </w:r>
          </w:p>
          <w:p>
            <w:pPr>
              <w:pStyle w:val="17"/>
            </w:pPr>
            <w:r>
              <w:t>2、完成部分域内充电设施建设，预计增加变压器2台，充电桩12台。</w:t>
            </w:r>
          </w:p>
          <w:p>
            <w:pPr>
              <w:pStyle w:val="17"/>
            </w:pPr>
          </w:p>
          <w:p>
            <w:pPr>
              <w:pStyle w:val="17"/>
            </w:pPr>
            <w:r>
              <w:t>3、完成部分域内基础设施建设。</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充电桩</w:t>
            </w:r>
          </w:p>
        </w:tc>
        <w:tc>
          <w:tcPr>
            <w:tcW w:w="2835" w:type="dxa"/>
            <w:vAlign w:val="center"/>
          </w:tcPr>
          <w:p>
            <w:pPr>
              <w:pStyle w:val="17"/>
            </w:pPr>
            <w:r>
              <w:t>建设充电桩</w:t>
            </w:r>
          </w:p>
        </w:tc>
        <w:tc>
          <w:tcPr>
            <w:tcW w:w="2551" w:type="dxa"/>
            <w:vAlign w:val="center"/>
          </w:tcPr>
          <w:p>
            <w:pPr>
              <w:pStyle w:val="17"/>
            </w:pPr>
            <w:r>
              <w:t>12个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变压器</w:t>
            </w:r>
          </w:p>
        </w:tc>
        <w:tc>
          <w:tcPr>
            <w:tcW w:w="2835" w:type="dxa"/>
            <w:vAlign w:val="center"/>
          </w:tcPr>
          <w:p>
            <w:pPr>
              <w:pStyle w:val="17"/>
            </w:pPr>
            <w:r>
              <w:t>安装变压器数量</w:t>
            </w:r>
          </w:p>
        </w:tc>
        <w:tc>
          <w:tcPr>
            <w:tcW w:w="2551" w:type="dxa"/>
            <w:vAlign w:val="center"/>
          </w:tcPr>
          <w:p>
            <w:pPr>
              <w:pStyle w:val="17"/>
            </w:pPr>
            <w:r>
              <w:t>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路面硬化</w:t>
            </w:r>
          </w:p>
        </w:tc>
        <w:tc>
          <w:tcPr>
            <w:tcW w:w="2835" w:type="dxa"/>
            <w:vAlign w:val="center"/>
          </w:tcPr>
          <w:p>
            <w:pPr>
              <w:pStyle w:val="17"/>
            </w:pPr>
            <w:r>
              <w:t>路面硬化</w:t>
            </w:r>
          </w:p>
        </w:tc>
        <w:tc>
          <w:tcPr>
            <w:tcW w:w="2551" w:type="dxa"/>
            <w:vAlign w:val="center"/>
          </w:tcPr>
          <w:p>
            <w:pPr>
              <w:pStyle w:val="17"/>
            </w:pPr>
            <w:r>
              <w:t>≥1600平米</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充电桩验收合格率</w:t>
            </w:r>
          </w:p>
        </w:tc>
        <w:tc>
          <w:tcPr>
            <w:tcW w:w="2835" w:type="dxa"/>
            <w:vAlign w:val="center"/>
          </w:tcPr>
          <w:p>
            <w:pPr>
              <w:pStyle w:val="17"/>
            </w:pPr>
            <w:r>
              <w:t>充电桩验收合格率</w:t>
            </w:r>
          </w:p>
        </w:tc>
        <w:tc>
          <w:tcPr>
            <w:tcW w:w="2551" w:type="dxa"/>
            <w:vAlign w:val="center"/>
          </w:tcPr>
          <w:p>
            <w:pPr>
              <w:pStyle w:val="17"/>
            </w:pPr>
            <w:r>
              <w:t>100%</w:t>
            </w:r>
          </w:p>
        </w:tc>
        <w:tc>
          <w:tcPr>
            <w:tcW w:w="2268" w:type="dxa"/>
            <w:vAlign w:val="center"/>
          </w:tcPr>
          <w:p>
            <w:pPr>
              <w:pStyle w:val="17"/>
            </w:pPr>
            <w:r>
              <w:t>验收报告或设备使用说明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变压器安装完成时间</w:t>
            </w:r>
          </w:p>
        </w:tc>
        <w:tc>
          <w:tcPr>
            <w:tcW w:w="2835" w:type="dxa"/>
            <w:vAlign w:val="center"/>
          </w:tcPr>
          <w:p>
            <w:pPr>
              <w:pStyle w:val="17"/>
            </w:pPr>
            <w:r>
              <w:t>完成时间</w:t>
            </w:r>
          </w:p>
        </w:tc>
        <w:tc>
          <w:tcPr>
            <w:tcW w:w="2551" w:type="dxa"/>
            <w:vAlign w:val="center"/>
          </w:tcPr>
          <w:p>
            <w:pPr>
              <w:pStyle w:val="17"/>
            </w:pPr>
            <w:r>
              <w:t>6月份前完成</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充电桩安装成本</w:t>
            </w:r>
          </w:p>
        </w:tc>
        <w:tc>
          <w:tcPr>
            <w:tcW w:w="2835" w:type="dxa"/>
            <w:vAlign w:val="center"/>
          </w:tcPr>
          <w:p>
            <w:pPr>
              <w:pStyle w:val="17"/>
            </w:pPr>
            <w:r>
              <w:t>每个充电桩安装成本</w:t>
            </w:r>
          </w:p>
        </w:tc>
        <w:tc>
          <w:tcPr>
            <w:tcW w:w="2551" w:type="dxa"/>
            <w:vAlign w:val="center"/>
          </w:tcPr>
          <w:p>
            <w:pPr>
              <w:pStyle w:val="17"/>
            </w:pPr>
            <w:r>
              <w:t>≤6.7万元</w:t>
            </w:r>
          </w:p>
        </w:tc>
        <w:tc>
          <w:tcPr>
            <w:tcW w:w="2268" w:type="dxa"/>
            <w:vAlign w:val="center"/>
          </w:tcPr>
          <w:p>
            <w:pPr>
              <w:pStyle w:val="17"/>
            </w:pPr>
            <w:r>
              <w:t>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变压器</w:t>
            </w:r>
          </w:p>
        </w:tc>
        <w:tc>
          <w:tcPr>
            <w:tcW w:w="2835" w:type="dxa"/>
            <w:vAlign w:val="center"/>
          </w:tcPr>
          <w:p>
            <w:pPr>
              <w:pStyle w:val="17"/>
            </w:pPr>
            <w:r>
              <w:t>安装变压器</w:t>
            </w:r>
          </w:p>
        </w:tc>
        <w:tc>
          <w:tcPr>
            <w:tcW w:w="2551" w:type="dxa"/>
            <w:vAlign w:val="center"/>
          </w:tcPr>
          <w:p>
            <w:pPr>
              <w:pStyle w:val="17"/>
            </w:pPr>
            <w:r>
              <w:t>≤60万元</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路面硬化</w:t>
            </w:r>
          </w:p>
        </w:tc>
        <w:tc>
          <w:tcPr>
            <w:tcW w:w="2835" w:type="dxa"/>
            <w:vAlign w:val="center"/>
          </w:tcPr>
          <w:p>
            <w:pPr>
              <w:pStyle w:val="17"/>
            </w:pPr>
            <w:r>
              <w:t>路面硬化每平米单价</w:t>
            </w:r>
          </w:p>
        </w:tc>
        <w:tc>
          <w:tcPr>
            <w:tcW w:w="2551" w:type="dxa"/>
            <w:vAlign w:val="center"/>
          </w:tcPr>
          <w:p>
            <w:pPr>
              <w:pStyle w:val="17"/>
            </w:pPr>
            <w:r>
              <w:t>≤250元/平米</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w:t>
            </w:r>
          </w:p>
        </w:tc>
        <w:tc>
          <w:tcPr>
            <w:tcW w:w="2835" w:type="dxa"/>
            <w:vAlign w:val="center"/>
          </w:tcPr>
          <w:p>
            <w:pPr>
              <w:pStyle w:val="17"/>
            </w:pPr>
            <w:r>
              <w:t>提升居民出行方便程度，促进协同发展</w:t>
            </w:r>
          </w:p>
        </w:tc>
        <w:tc>
          <w:tcPr>
            <w:tcW w:w="2551" w:type="dxa"/>
            <w:vAlign w:val="center"/>
          </w:tcPr>
          <w:p>
            <w:pPr>
              <w:pStyle w:val="17"/>
            </w:pPr>
            <w:r>
              <w:t>提升</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收入增长率</w:t>
            </w:r>
          </w:p>
        </w:tc>
        <w:tc>
          <w:tcPr>
            <w:tcW w:w="2835" w:type="dxa"/>
            <w:vAlign w:val="center"/>
          </w:tcPr>
          <w:p>
            <w:pPr>
              <w:pStyle w:val="17"/>
            </w:pPr>
            <w:r>
              <w:t>增加公司收入，增加人财物流动，带动市域内经济发展</w:t>
            </w:r>
          </w:p>
        </w:tc>
        <w:tc>
          <w:tcPr>
            <w:tcW w:w="2551" w:type="dxa"/>
            <w:vAlign w:val="center"/>
          </w:tcPr>
          <w:p>
            <w:pPr>
              <w:pStyle w:val="17"/>
            </w:pPr>
            <w:r>
              <w:t>≥60%</w:t>
            </w:r>
          </w:p>
        </w:tc>
        <w:tc>
          <w:tcPr>
            <w:tcW w:w="2268" w:type="dxa"/>
            <w:vAlign w:val="center"/>
          </w:tcPr>
          <w:p>
            <w:pPr>
              <w:pStyle w:val="17"/>
            </w:pPr>
            <w:r>
              <w:t>年终报表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绿色环保出行</w:t>
            </w:r>
          </w:p>
        </w:tc>
        <w:tc>
          <w:tcPr>
            <w:tcW w:w="2835" w:type="dxa"/>
            <w:vAlign w:val="center"/>
          </w:tcPr>
          <w:p>
            <w:pPr>
              <w:pStyle w:val="17"/>
            </w:pPr>
            <w:r>
              <w:t>减少污染排放</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可持续影响</w:t>
            </w:r>
          </w:p>
        </w:tc>
        <w:tc>
          <w:tcPr>
            <w:tcW w:w="2835" w:type="dxa"/>
            <w:vAlign w:val="center"/>
          </w:tcPr>
          <w:p>
            <w:pPr>
              <w:pStyle w:val="17"/>
            </w:pPr>
            <w:r>
              <w:t>减少居民出行等待时间。增加社会就业。为其他县域开通起了示范作用</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居民对公交车运营满意程度</w:t>
            </w:r>
          </w:p>
        </w:tc>
        <w:tc>
          <w:tcPr>
            <w:tcW w:w="2551" w:type="dxa"/>
            <w:vAlign w:val="center"/>
          </w:tcPr>
          <w:p>
            <w:pPr>
              <w:pStyle w:val="17"/>
            </w:pPr>
            <w:r>
              <w:t>≥96%</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13、机关业务费绩效目标表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1.目标内容1f丰富老干部业余生活，促进社会和谐稳定。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老干部体检、慰问人数</w:t>
            </w:r>
          </w:p>
        </w:tc>
        <w:tc>
          <w:tcPr>
            <w:tcW w:w="2835" w:type="dxa"/>
            <w:vAlign w:val="center"/>
          </w:tcPr>
          <w:p>
            <w:pPr>
              <w:pStyle w:val="17"/>
            </w:pPr>
            <w:r>
              <w:t>老干部体检、慰问人数</w:t>
            </w:r>
          </w:p>
        </w:tc>
        <w:tc>
          <w:tcPr>
            <w:tcW w:w="2551" w:type="dxa"/>
            <w:vAlign w:val="center"/>
          </w:tcPr>
          <w:p>
            <w:pPr>
              <w:pStyle w:val="17"/>
            </w:pPr>
            <w:r>
              <w:t>67人</w:t>
            </w:r>
          </w:p>
        </w:tc>
        <w:tc>
          <w:tcPr>
            <w:tcW w:w="2268" w:type="dxa"/>
            <w:vAlign w:val="center"/>
          </w:tcPr>
          <w:p>
            <w:pPr>
              <w:pStyle w:val="17"/>
            </w:pPr>
            <w:r>
              <w:t>离退休人员花名册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走访慰问率</w:t>
            </w:r>
          </w:p>
        </w:tc>
        <w:tc>
          <w:tcPr>
            <w:tcW w:w="2835" w:type="dxa"/>
            <w:vAlign w:val="center"/>
          </w:tcPr>
          <w:p>
            <w:pPr>
              <w:pStyle w:val="17"/>
            </w:pPr>
            <w:r>
              <w:t>走访慰问率</w:t>
            </w:r>
          </w:p>
        </w:tc>
        <w:tc>
          <w:tcPr>
            <w:tcW w:w="2551" w:type="dxa"/>
            <w:vAlign w:val="center"/>
          </w:tcPr>
          <w:p>
            <w:pPr>
              <w:pStyle w:val="17"/>
            </w:pPr>
            <w:r>
              <w:t>100%</w:t>
            </w:r>
          </w:p>
        </w:tc>
        <w:tc>
          <w:tcPr>
            <w:tcW w:w="2268" w:type="dxa"/>
            <w:vAlign w:val="center"/>
          </w:tcPr>
          <w:p>
            <w:pPr>
              <w:pStyle w:val="17"/>
            </w:pPr>
            <w:r>
              <w:t>离退休人员花名册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老干部体检、慰问及时率</w:t>
            </w:r>
          </w:p>
        </w:tc>
        <w:tc>
          <w:tcPr>
            <w:tcW w:w="2835" w:type="dxa"/>
            <w:vAlign w:val="center"/>
          </w:tcPr>
          <w:p>
            <w:pPr>
              <w:pStyle w:val="17"/>
            </w:pPr>
            <w:r>
              <w:t>老干部体检、慰问及时率</w:t>
            </w:r>
          </w:p>
        </w:tc>
        <w:tc>
          <w:tcPr>
            <w:tcW w:w="2551" w:type="dxa"/>
            <w:vAlign w:val="center"/>
          </w:tcPr>
          <w:p>
            <w:pPr>
              <w:pStyle w:val="17"/>
            </w:pPr>
            <w:r>
              <w:t>100%</w:t>
            </w:r>
          </w:p>
        </w:tc>
        <w:tc>
          <w:tcPr>
            <w:tcW w:w="2268" w:type="dxa"/>
            <w:vAlign w:val="center"/>
          </w:tcPr>
          <w:p>
            <w:pPr>
              <w:pStyle w:val="17"/>
            </w:pPr>
            <w:r>
              <w:t>离退休人员花名册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老干部体检、慰问标准</w:t>
            </w:r>
          </w:p>
        </w:tc>
        <w:tc>
          <w:tcPr>
            <w:tcW w:w="2835" w:type="dxa"/>
            <w:vAlign w:val="center"/>
          </w:tcPr>
          <w:p>
            <w:pPr>
              <w:pStyle w:val="17"/>
            </w:pPr>
            <w:r>
              <w:t>老干部体检、慰问标准</w:t>
            </w:r>
          </w:p>
        </w:tc>
        <w:tc>
          <w:tcPr>
            <w:tcW w:w="2551" w:type="dxa"/>
            <w:vAlign w:val="center"/>
          </w:tcPr>
          <w:p>
            <w:pPr>
              <w:pStyle w:val="17"/>
            </w:pPr>
            <w:r>
              <w:t>0.07万元</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老干部慰问活动成长效机制</w:t>
            </w:r>
          </w:p>
        </w:tc>
        <w:tc>
          <w:tcPr>
            <w:tcW w:w="2835" w:type="dxa"/>
            <w:vAlign w:val="center"/>
          </w:tcPr>
          <w:p>
            <w:pPr>
              <w:pStyle w:val="17"/>
            </w:pPr>
            <w:r>
              <w:t>老干部慰问活动成长效机制</w:t>
            </w:r>
          </w:p>
        </w:tc>
        <w:tc>
          <w:tcPr>
            <w:tcW w:w="2551" w:type="dxa"/>
            <w:vAlign w:val="center"/>
          </w:tcPr>
          <w:p>
            <w:pPr>
              <w:pStyle w:val="17"/>
            </w:pPr>
            <w:r>
              <w:t>长期执行</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离退休老干部对老干部工作满意度</w:t>
            </w:r>
          </w:p>
        </w:tc>
        <w:tc>
          <w:tcPr>
            <w:tcW w:w="2835" w:type="dxa"/>
            <w:vAlign w:val="center"/>
          </w:tcPr>
          <w:p>
            <w:pPr>
              <w:pStyle w:val="17"/>
            </w:pPr>
            <w:r>
              <w:t>离退休老干部对老干部工作满意度</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jc w:val="center"/>
      </w:pPr>
      <w:bookmarkStart w:id="0" w:name="_Toc471398468"/>
      <w:r>
        <w:rPr>
          <w:rFonts w:hint="eastAsia" w:ascii="Times New Roman" w:hAnsi="Times New Roman" w:eastAsia="仿宋_GB2312" w:cs="Times New Roman"/>
          <w:sz w:val="32"/>
          <w:szCs w:val="24"/>
        </w:rPr>
        <w:t>2023年，廊坊市人民政府国有资产监督管理委员会安排政府采购预算30.00万元。具体内容见下表。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731廊坊市人民政府国有资产监督管理委员会</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廊坊市人民政府国有资产监督管理委员会本级小计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国资监管运行经费</w:t>
            </w:r>
          </w:p>
        </w:tc>
        <w:tc>
          <w:tcPr>
            <w:tcW w:w="964" w:type="dxa"/>
            <w:vAlign w:val="center"/>
          </w:tcPr>
          <w:p>
            <w:pPr>
              <w:pStyle w:val="16"/>
            </w:pPr>
            <w:r>
              <w:t>80.00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次</w:t>
            </w:r>
          </w:p>
        </w:tc>
        <w:tc>
          <w:tcPr>
            <w:tcW w:w="850" w:type="dxa"/>
            <w:vAlign w:val="center"/>
          </w:tcPr>
          <w:p>
            <w:pPr>
              <w:pStyle w:val="16"/>
            </w:pPr>
            <w:r>
              <w:t>1</w:t>
            </w:r>
          </w:p>
        </w:tc>
        <w:tc>
          <w:tcPr>
            <w:tcW w:w="850" w:type="dxa"/>
            <w:vAlign w:val="center"/>
          </w:tcPr>
          <w:p>
            <w:pPr>
              <w:pStyle w:val="16"/>
            </w:pPr>
            <w:r>
              <w:t>30.00</w:t>
            </w:r>
          </w:p>
        </w:tc>
        <w:tc>
          <w:tcPr>
            <w:tcW w:w="964" w:type="dxa"/>
            <w:vAlign w:val="center"/>
          </w:tcPr>
          <w:p>
            <w:pPr>
              <w:pStyle w:val="16"/>
            </w:pPr>
            <w:r>
              <w:t>30.00</w:t>
            </w:r>
          </w:p>
        </w:tc>
        <w:tc>
          <w:tcPr>
            <w:tcW w:w="964" w:type="dxa"/>
            <w:vAlign w:val="center"/>
          </w:tcPr>
          <w:p>
            <w:pPr>
              <w:pStyle w:val="16"/>
            </w:pPr>
            <w:r>
              <w:t>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w:t>
            </w:r>
          </w:p>
        </w:tc>
      </w:tr>
    </w:tbl>
    <w:p>
      <w:pPr>
        <w:spacing w:line="500" w:lineRule="exact"/>
        <w:ind w:firstLine="420"/>
        <w:rPr>
          <w:rFonts w:ascii="Times New Roman" w:hAnsi="Times New Roman" w:eastAsia="仿宋_GB2312" w:cs="Times New Roman"/>
          <w:sz w:val="32"/>
          <w:szCs w:val="24"/>
        </w:rPr>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bookmarkEnd w:id="0"/>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廊坊市人民政府国有资产监督管理委员会（含所属单位）上年末固定资产金额为2125.21万元（详见下表）。本年度拟购置固定资产总额为0.00万元，已按要求列入政府采购预算，详见政府采购预算表。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pPr>
            <w:r>
              <w:t>731廊坊市人民政府国有资产监督管理委员会</w:t>
            </w:r>
          </w:p>
        </w:tc>
        <w:tc>
          <w:tcPr>
            <w:tcW w:w="5669" w:type="dxa"/>
            <w:gridSpan w:val="2"/>
            <w:tcBorders>
              <w:top w:val="single" w:color="FFFFFF" w:sz="6" w:space="0"/>
              <w:left w:val="single" w:color="FFFFFF" w:sz="6" w:space="0"/>
              <w:right w:val="single" w:color="FFFFFF" w:sz="6" w:space="0"/>
            </w:tcBorders>
            <w:vAlign w:val="center"/>
          </w:tcPr>
          <w:p>
            <w:pPr>
              <w:pStyle w:val="2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资产总额</w:t>
            </w:r>
          </w:p>
        </w:tc>
        <w:tc>
          <w:tcPr>
            <w:tcW w:w="2835" w:type="dxa"/>
            <w:vAlign w:val="center"/>
          </w:tcPr>
          <w:p>
            <w:pPr>
              <w:pStyle w:val="18"/>
            </w:pPr>
          </w:p>
        </w:tc>
        <w:tc>
          <w:tcPr>
            <w:tcW w:w="2835" w:type="dxa"/>
            <w:vAlign w:val="center"/>
          </w:tcPr>
          <w:p>
            <w:pPr>
              <w:pStyle w:val="16"/>
              <w:rPr>
                <w:rFonts w:eastAsiaTheme="minorEastAsia"/>
                <w:lang w:eastAsia="zh-CN"/>
              </w:rPr>
            </w:pPr>
            <w:r>
              <w:rPr>
                <w:rFonts w:hint="eastAsia" w:eastAsiaTheme="minorEastAsia"/>
                <w:lang w:eastAsia="zh-CN"/>
              </w:rPr>
              <w:t>2125.21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w:t>
            </w:r>
            <w:r>
              <w:rPr>
                <w:rFonts w:hint="eastAsia"/>
              </w:rPr>
              <w:t>、房屋（平方米）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其中：办公用房（平方米）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w:t>
            </w:r>
            <w:r>
              <w:rPr>
                <w:rFonts w:hint="eastAsia"/>
              </w:rPr>
              <w:t>、车辆（台、辆）</w:t>
            </w:r>
          </w:p>
        </w:tc>
        <w:tc>
          <w:tcPr>
            <w:tcW w:w="2835" w:type="dxa"/>
            <w:vAlign w:val="center"/>
          </w:tcPr>
          <w:p>
            <w:pPr>
              <w:pStyle w:val="18"/>
              <w:rPr>
                <w:rFonts w:eastAsiaTheme="minorEastAsia"/>
                <w:lang w:eastAsia="zh-CN"/>
              </w:rPr>
            </w:pPr>
            <w:r>
              <w:rPr>
                <w:rFonts w:hint="eastAsia" w:eastAsiaTheme="minorEastAsia"/>
                <w:lang w:eastAsia="zh-CN"/>
              </w:rPr>
              <w:t>5</w:t>
            </w:r>
          </w:p>
        </w:tc>
        <w:tc>
          <w:tcPr>
            <w:tcW w:w="2835" w:type="dxa"/>
            <w:vAlign w:val="center"/>
          </w:tcPr>
          <w:p>
            <w:pPr>
              <w:pStyle w:val="16"/>
              <w:rPr>
                <w:rFonts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w:t>
            </w:r>
            <w:r>
              <w:rPr>
                <w:rFonts w:hint="eastAsia"/>
              </w:rPr>
              <w:t>、单价在</w:t>
            </w:r>
            <w:r>
              <w:t>20</w:t>
            </w:r>
            <w:r>
              <w:rPr>
                <w:rFonts w:hint="eastAsia"/>
              </w:rPr>
              <w:t>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w:t>
            </w:r>
            <w:r>
              <w:rPr>
                <w:rFonts w:hint="eastAsia"/>
              </w:rPr>
              <w:t>、其他固定资产</w:t>
            </w:r>
          </w:p>
        </w:tc>
        <w:tc>
          <w:tcPr>
            <w:tcW w:w="2835" w:type="dxa"/>
            <w:vAlign w:val="center"/>
          </w:tcPr>
          <w:p>
            <w:pPr>
              <w:pStyle w:val="18"/>
              <w:rPr>
                <w:rFonts w:eastAsiaTheme="minorEastAsia"/>
                <w:lang w:eastAsia="zh-CN"/>
              </w:rPr>
            </w:pPr>
            <w:r>
              <w:rPr>
                <w:rFonts w:hint="eastAsia" w:eastAsiaTheme="minorEastAsia"/>
                <w:lang w:eastAsia="zh-CN"/>
              </w:rPr>
              <w:t>913</w:t>
            </w:r>
          </w:p>
        </w:tc>
        <w:tc>
          <w:tcPr>
            <w:tcW w:w="2835" w:type="dxa"/>
            <w:vAlign w:val="center"/>
          </w:tcPr>
          <w:p>
            <w:pPr>
              <w:pStyle w:val="16"/>
              <w:rPr>
                <w:rFonts w:eastAsiaTheme="minorEastAsia"/>
                <w:lang w:eastAsia="zh-CN"/>
              </w:rPr>
            </w:pPr>
            <w:r>
              <w:rPr>
                <w:rFonts w:hint="eastAsia" w:eastAsiaTheme="minorEastAsia"/>
                <w:lang w:eastAsia="zh-CN"/>
              </w:rPr>
              <w:t>139.17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35</w:t>
    </w:r>
    <w:r>
      <w:rPr>
        <w:lang w:val="zh-CN"/>
      </w:rPr>
      <w:fldChar w:fldCharType="end"/>
    </w:r>
    <w:r>
      <w:rPr>
        <w:rFonts w:hint="eastAsia"/>
      </w:rPr>
      <w:t>-</w:t>
    </w:r>
  </w:p>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DJhZWI4Y2U3NzY1YjFiZmY4N2QxNWQ2YmFiZTQxYzkifQ=="/>
  </w:docVars>
  <w:rsids>
    <w:rsidRoot w:val="00D347CC"/>
    <w:rsid w:val="000230E6"/>
    <w:rsid w:val="000C5D4C"/>
    <w:rsid w:val="00141A29"/>
    <w:rsid w:val="0019264E"/>
    <w:rsid w:val="001C3F44"/>
    <w:rsid w:val="0025632D"/>
    <w:rsid w:val="002C6347"/>
    <w:rsid w:val="00305612"/>
    <w:rsid w:val="00332B18"/>
    <w:rsid w:val="003546C8"/>
    <w:rsid w:val="00381A72"/>
    <w:rsid w:val="003A4136"/>
    <w:rsid w:val="003C0429"/>
    <w:rsid w:val="003C67F1"/>
    <w:rsid w:val="00424B2B"/>
    <w:rsid w:val="004A10A6"/>
    <w:rsid w:val="004A54AA"/>
    <w:rsid w:val="00557FFA"/>
    <w:rsid w:val="005D2D11"/>
    <w:rsid w:val="00631505"/>
    <w:rsid w:val="00646527"/>
    <w:rsid w:val="00695035"/>
    <w:rsid w:val="006C5E98"/>
    <w:rsid w:val="00765BA4"/>
    <w:rsid w:val="007E09BD"/>
    <w:rsid w:val="007F0208"/>
    <w:rsid w:val="007F1ABF"/>
    <w:rsid w:val="007F6094"/>
    <w:rsid w:val="00815EE8"/>
    <w:rsid w:val="00854E06"/>
    <w:rsid w:val="009032C0"/>
    <w:rsid w:val="00944233"/>
    <w:rsid w:val="009B28BF"/>
    <w:rsid w:val="009C6B59"/>
    <w:rsid w:val="00AB5CF0"/>
    <w:rsid w:val="00B02D39"/>
    <w:rsid w:val="00B2008B"/>
    <w:rsid w:val="00B22832"/>
    <w:rsid w:val="00B40732"/>
    <w:rsid w:val="00B80935"/>
    <w:rsid w:val="00BA72F9"/>
    <w:rsid w:val="00BB52BB"/>
    <w:rsid w:val="00C7731D"/>
    <w:rsid w:val="00D347CC"/>
    <w:rsid w:val="00D85647"/>
    <w:rsid w:val="00D86D63"/>
    <w:rsid w:val="00DA06C2"/>
    <w:rsid w:val="00DD2B17"/>
    <w:rsid w:val="00E05246"/>
    <w:rsid w:val="00E93B3D"/>
    <w:rsid w:val="00E95FE0"/>
    <w:rsid w:val="00EC0CC2"/>
    <w:rsid w:val="00EE19AF"/>
    <w:rsid w:val="00F45FFB"/>
    <w:rsid w:val="00F76BEE"/>
    <w:rsid w:val="00FA44CE"/>
    <w:rsid w:val="00FF14E1"/>
    <w:rsid w:val="7469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Balloon Text"/>
    <w:basedOn w:val="1"/>
    <w:uiPriority w:val="0"/>
    <w:rPr>
      <w:sz w:val="18"/>
      <w:szCs w:val="18"/>
    </w:rPr>
  </w:style>
  <w:style w:type="paragraph" w:styleId="4">
    <w:name w:val="footer"/>
    <w:basedOn w:val="1"/>
    <w:link w:val="46"/>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45"/>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autoRedefine/>
    <w:qFormat/>
    <w:uiPriority w:val="0"/>
    <w:rPr>
      <w:rFonts w:ascii="Times New Roman" w:hAnsi="Times New Roman" w:cs="Times New Roman"/>
      <w:szCs w:val="24"/>
    </w:rPr>
  </w:style>
  <w:style w:type="paragraph" w:styleId="7">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8">
    <w:name w:val="footnote text"/>
    <w:basedOn w:val="1"/>
    <w:uiPriority w:val="0"/>
    <w:pPr>
      <w:snapToGrid w:val="0"/>
      <w:jc w:val="left"/>
    </w:pPr>
    <w:rPr>
      <w:rFonts w:cs="Times New Roman"/>
      <w:sz w:val="18"/>
      <w:szCs w:val="18"/>
    </w:rPr>
  </w:style>
  <w:style w:type="paragraph" w:styleId="9">
    <w:name w:val="toc 2"/>
    <w:basedOn w:val="1"/>
    <w:next w:val="1"/>
    <w:autoRedefine/>
    <w:qFormat/>
    <w:uiPriority w:val="0"/>
    <w:pPr>
      <w:ind w:left="200" w:leftChars="200"/>
    </w:pPr>
    <w:rPr>
      <w:rFonts w:ascii="Times New Roman" w:hAnsi="Times New Roman" w:cs="Times New Roman"/>
      <w:szCs w:val="24"/>
    </w:rPr>
  </w:style>
  <w:style w:type="table" w:styleId="11">
    <w:name w:val="Table Grid"/>
    <w:basedOn w:val="10"/>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footnote reference"/>
    <w:uiPriority w:val="0"/>
    <w:rPr>
      <w:vertAlign w:val="superscript"/>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9">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2">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23">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24">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5">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2">
    <w:name w:val="Normal_311911ff-6986-4e13-9822-e75ecb823dff"/>
    <w:qFormat/>
    <w:uiPriority w:val="0"/>
    <w:rPr>
      <w:rFonts w:ascii="Times New Roman" w:hAnsi="Times New Roman" w:eastAsia="Times New Roman" w:cs="Times New Roman"/>
      <w:sz w:val="24"/>
      <w:szCs w:val="24"/>
      <w:lang w:val="en-US" w:eastAsia="uk-UA" w:bidi="ar-SA"/>
    </w:rPr>
  </w:style>
  <w:style w:type="paragraph" w:customStyle="1" w:styleId="33">
    <w:name w:val="单元格样式1_9b7d6ad4-3184-4548-b501-aea28389251c"/>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4">
    <w:name w:val="单元格样式2_0280ee57-576b-4c4c-9ac4-850f8606b69a"/>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5">
    <w:name w:val="单元格样式3_c3bee285-5dbd-4cc0-8988-bcc00a9a112a"/>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36">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7">
    <w:name w:val="插入文本样式-插入单位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9">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0">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1">
    <w:name w:val="目录 21"/>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42">
    <w:name w:val="目录 31"/>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customStyle="1" w:styleId="43">
    <w:name w:val="目录 41"/>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44">
    <w:name w:val="目录 11"/>
    <w:basedOn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character" w:customStyle="1" w:styleId="45">
    <w:name w:val="页眉 Char"/>
    <w:basedOn w:val="12"/>
    <w:link w:val="5"/>
    <w:uiPriority w:val="99"/>
    <w:rPr>
      <w:kern w:val="2"/>
      <w:sz w:val="18"/>
      <w:szCs w:val="18"/>
    </w:rPr>
  </w:style>
  <w:style w:type="character" w:customStyle="1" w:styleId="46">
    <w:name w:val="页脚 Char"/>
    <w:basedOn w:val="12"/>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B45E-51B2-4519-8AB3-570C15C33B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13712</Words>
  <Characters>14576</Characters>
  <Lines>116</Lines>
  <Paragraphs>32</Paragraphs>
  <TotalTime>9122</TotalTime>
  <ScaleCrop>false</ScaleCrop>
  <LinksUpToDate>false</LinksUpToDate>
  <CharactersWithSpaces>15017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Queen</cp:lastModifiedBy>
  <cp:lastPrinted>2018-01-30T06:12:00Z</cp:lastPrinted>
  <dcterms:modified xsi:type="dcterms:W3CDTF">2024-05-24T01:03:29Z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35C86B8F78394F11BC93FCF7C145DBE7_12</vt:lpwstr>
  </property>
</Properties>
</file>